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899" w:h="451" w:wrap="none" w:hAnchor="page" w:x="1765" w:y="1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899" w:h="451" w:wrap="none" w:hAnchor="page" w:x="1765" w:y="1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3538" w:h="696" w:wrap="none" w:hAnchor="page" w:x="1453" w:y="1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4B6293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Смоленской области</w:t>
      </w:r>
    </w:p>
    <w:p>
      <w:pPr>
        <w:pStyle w:val="Style2"/>
        <w:keepNext w:val="0"/>
        <w:keepLines w:val="0"/>
        <w:framePr w:w="4277" w:h="1565" w:wrap="none" w:hAnchor="page" w:x="1141" w:y="280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Октябрьской Революции, 14а, г. Смоленск, 214000</w:t>
        <w:br/>
        <w:t>тел.(4812) 38-62-22, факс (4812) 38-62-22</w:t>
      </w:r>
    </w:p>
    <w:p>
      <w:pPr>
        <w:pStyle w:val="Style2"/>
        <w:keepNext w:val="0"/>
        <w:keepLines w:val="0"/>
        <w:framePr w:w="4277" w:h="1565" w:wrap="none" w:hAnchor="page" w:x="1141" w:y="280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е-таП: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1о67@Гаа.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цоу.гн</w:t>
      </w:r>
      <w:r>
        <w:fldChar w:fldCharType="end"/>
      </w:r>
    </w:p>
    <w:p>
      <w:pPr>
        <w:pStyle w:val="Style9"/>
        <w:keepNext/>
        <w:keepLines/>
        <w:framePr w:w="4277" w:h="1565" w:wrap="none" w:hAnchor="page" w:x="1141" w:y="2809"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НМ/4232/2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5"/>
        <w:keepNext w:val="0"/>
        <w:keepLines w:val="0"/>
        <w:framePr w:w="4277" w:h="1565" w:wrap="none" w:hAnchor="page" w:x="1141" w:y="28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4B6293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3"/>
        <w:keepNext w:val="0"/>
        <w:keepLines w:val="0"/>
        <w:framePr w:w="931" w:h="302" w:wrap="none" w:hAnchor="page" w:x="1213" w:y="4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5"/>
        <w:keepNext/>
        <w:keepLines/>
        <w:framePr w:w="4642" w:h="5736" w:wrap="none" w:hAnchor="page" w:x="6402" w:y="94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Государственный заказчик:</w:t>
      </w:r>
      <w:bookmarkEnd w:id="2"/>
    </w:p>
    <w:p>
      <w:pPr>
        <w:pStyle w:val="Style13"/>
        <w:keepNext w:val="0"/>
        <w:keepLines w:val="0"/>
        <w:framePr w:w="4642" w:h="5736" w:wrap="none" w:hAnchor="page" w:x="6402" w:y="947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ОГБУЗ «Поликлиника № 6»</w:t>
      </w:r>
    </w:p>
    <w:p>
      <w:pPr>
        <w:pStyle w:val="Style5"/>
        <w:keepNext w:val="0"/>
        <w:keepLines w:val="0"/>
        <w:framePr w:w="4642" w:h="5736" w:wrap="none" w:hAnchor="page" w:x="6402" w:y="947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Коммунистическая, д. 5 А, г. Смоленск, 214000</w:t>
      </w:r>
    </w:p>
    <w:p>
      <w:pPr>
        <w:pStyle w:val="Style5"/>
        <w:keepNext w:val="0"/>
        <w:keepLines w:val="0"/>
        <w:framePr w:w="4642" w:h="5736" w:wrap="none" w:hAnchor="page" w:x="6402" w:y="947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ро11кНшкаб8то1еп8к(@1иа11.ги</w:t>
      </w:r>
    </w:p>
    <w:p>
      <w:pPr>
        <w:pStyle w:val="Style15"/>
        <w:keepNext/>
        <w:keepLines/>
        <w:framePr w:w="4642" w:h="5736" w:wrap="none" w:hAnchor="page" w:x="6402" w:y="94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4"/>
    </w:p>
    <w:p>
      <w:pPr>
        <w:pStyle w:val="Style13"/>
        <w:keepNext w:val="0"/>
        <w:keepLines w:val="0"/>
        <w:framePr w:w="4642" w:h="5736" w:wrap="none" w:hAnchor="page" w:x="6402" w:y="947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Главное управление Смоленской области по регулированию контрактной системы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пл. Ленина, 1, каб. 243, г. Смоленск, 214008 </w:t>
      </w:r>
      <w:r>
        <w:fldChar w:fldCharType="begin"/>
      </w:r>
      <w:r>
        <w:rPr/>
        <w:instrText> HYPERLINK "mailto:goszakaz@admin-smolensk.ru"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§О82аках@ас1т1п-8то1еп8к.ги</w:t>
      </w:r>
      <w:r>
        <w:fldChar w:fldCharType="end"/>
      </w:r>
    </w:p>
    <w:p>
      <w:pPr>
        <w:pStyle w:val="Style15"/>
        <w:keepNext/>
        <w:keepLines/>
        <w:framePr w:w="4642" w:h="5736" w:wrap="none" w:hAnchor="page" w:x="6402" w:y="94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6"/>
    </w:p>
    <w:p>
      <w:pPr>
        <w:pStyle w:val="Style5"/>
        <w:keepNext w:val="0"/>
        <w:keepLines w:val="0"/>
        <w:framePr w:w="4642" w:h="5736" w:wrap="none" w:hAnchor="page" w:x="6402" w:y="947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ООО «Амедис Инжиниринг»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Торфяная, д. ЗОА, помещ. П12, ком. 307, г. Нижний Новгород, 603037 </w:t>
      </w:r>
      <w:r>
        <w:rPr>
          <w:color w:val="020078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атесИ81п@ етаИ. сот</w:t>
      </w:r>
    </w:p>
    <w:p>
      <w:pPr>
        <w:pStyle w:val="Style15"/>
        <w:keepNext/>
        <w:keepLines/>
        <w:framePr w:w="4642" w:h="5736" w:wrap="none" w:hAnchor="page" w:x="6402" w:y="94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Электронная площадка:</w:t>
      </w:r>
      <w:bookmarkEnd w:id="8"/>
    </w:p>
    <w:p>
      <w:pPr>
        <w:pStyle w:val="Style5"/>
        <w:keepNext w:val="0"/>
        <w:keepLines w:val="0"/>
        <w:framePr w:w="4642" w:h="5736" w:wrap="none" w:hAnchor="page" w:x="6402" w:y="947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ООО «РТС-тендер»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ко?/ 118-1спс1сг.ги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1778635</wp:posOffset>
            </wp:positionH>
            <wp:positionV relativeFrom="margin">
              <wp:posOffset>0</wp:posOffset>
            </wp:positionV>
            <wp:extent cx="530225" cy="62166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216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536" w:bottom="1216" w:left="107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00" w:right="0" w:bottom="14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067/06/33-629/2024 о нарушении</w:t>
        <w:br/>
        <w:t>законодательства Российской Федерации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371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 октября 2024 года</w:t>
        <w:tab/>
        <w:t>г. Смоленск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Смоленского УФАС России по контролю в сфере закупок (далее - Комиссия) в следующем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Заместитель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9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председателя Комиссии:</w:t>
        <w:tab/>
        <w:t>- заместитель руководителя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Смоленского УФАС России;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9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- начальник отдела контроля закупок 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антимонопольного контроля органов власти Смоленского УФАС России;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60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специалист-эксперт отдела контроля закупок и антимонопольного контроля органов власти Смоленского УФАС России;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личном участии в рассмотрении жалобы представителей заказчика: Романовской М.С. (доверенность № б/н от 30.09.2024), Фадеевой Я.О. (доверенность № б/н от 30.09.2024);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1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в дистанционном режиме рассмотрения жалобы: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уполномоченного органа: Скворцовой А.В. (доверенность № 20 от 19.02.2024);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заявителя: Шишкиной Е.А. (доверенность № б/н от 10.01.2024);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Федерации, пунктами 6.1.9, 7.7-7.8 Положения о территориальном органе Федеральной антимонопольной 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приказом ФАС России от 11.02.2014 № 75/14, приказом Смоленского УФАС России от 20.08.2024 №117/24 жалобу ООО «Амедис Инжиниринг» (далее - Заявитель) и проведя внеплановую проверку,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Смоленское УФАС России 26.09.2024 поступила жалоба ООО «Амедис Инжиниринг», согласно которой Заказчиком при проведении открытого аукциона в электронной форме: «Поставка медицинского оборудования (Горизонтальный паровой стерилизатор) с монтажом и вводом в эксплуатацию поставляемого оборудования, с проведением инструктажа и обучения лиц, осуществляющих использование поставляемого оборудования для нужд ОГБУЗ «Поликлиника № 6»» (извещение №0163200000324005673) были допущены нарушения Закона, а именно при описании объекта закупки Заказчиком был применен ненадлежащий код КТРУ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Государственным заказчиком по данному открытому аукциону в электронной форме является Областное государственное бюджетное учреждение здравоохранения «Поликлиника № 6» (далее - Заказчик), уполномоченным органом - Главное управление Смоленской области по регулированию контрактной системы (далее - уполномоченный орган).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письменные возражения по существу жалобы, с доводами жалобы не согласился.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рассмотрения жалобы контракт Заказчиком не заключен.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изучения представленных документов, рассмотрения доводов жалобы, пояснений Заказчика, Комиссия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18.09.2024 уполномоченным органом на официальном сайте единой информационной системы в сфере закупок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smallCaps/>
          <w:color w:val="020078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20078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гак нрк1,цо</w:t>
      </w:r>
      <w:r>
        <w:rPr>
          <w:smallCaps/>
          <w:color w:val="020078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у.ш</w:t>
      </w:r>
      <w:r>
        <w:fldChar w:fldCharType="end"/>
      </w:r>
      <w:r>
        <w:rPr>
          <w:color w:val="02007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размещено Извещение №0163200000324005673 о проведении открытого аукциона в электронной форме.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(далее - НМ1ДК) - 1 130 000,00 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подачи ценовых предложений от 26.09.2024 №ЦПА1 заявки на участие в закупке были поданы 6 участниками закупки, сделавшие следующие ценовые предложения: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 закупки с идентификационным номером 117350962 - 892 700,00 руб.;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 закупки с идентификационным номером 117346843 - 892 700,00 руб.;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 закупки с идентификационным номером 117317895 - 898 350,00 руб.;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00" w:right="528" w:bottom="1431" w:left="108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участниками закупки с идентификационными номерами 117331426, 117346115, 117348049 не были сделаны ценовые предложения.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30.09.2024 №ИЭА1 заявки участников закупки были признаны соответствующими требованиям Извещения, участник с идентификационным номером 117350962 был признан победителем и получил право заключить контракт.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3 части 1 статьи 3 Закона закупка товара, работы, услуги для обеспечения государственных или муниципальных нужд (далее - закупка) - совокупность действий, осуществляемых в установленном Законом порядке заказчиком и направленных на обеспечение государственных или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49 Закона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Закона. Заявка также может содержать информацию и документы, предусмотренные подпунктом «д» пункта 2 части 1 статьи 43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5 статьи 23 Закона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6 статьи 23 Закона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формирования) и Правила использования каталога товаров, работ, услуг для обеспечения государственных и муниципальных нужд (далее - Правила использования), утверждены постановлением Правительства РФ от 08.02.2017 № 145 (далее - Постановление №145).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Правил формирования под каталогом товаров, работ, услуг для обеспечения государственных и муниципальных нужд (далее - каталог)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Общероссийского классификатора продукции по видам экономической деятельности (ОКПД2) ОК 034-2014 и включающий в себя информацию в соответствии с Правилами.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12 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(ОКПД2) 2024-4541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ОК 034-2014.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«б» пункта 2 Правил использования каталог используется заказчиками, среди прочего, в целях описания объектов закупки, которое включается в извещение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«в» пункта 4 Правил использования заказчики обязаны применять информацию, включенную в позицию каталога в соответствии с подпунктами «б» - «г» и «е» - «з» пункта 10 Правил формирования,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информацию относительно описания товара, работы, услуги (при наличии такого описания в позиции).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7 Правил использования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Закона. При проведении предусмотренных Законом электронных процедур, закрытых электронных процедур характеристики объекта закупки, предусмотренные пунктом 1 части 1 статьи 33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соответственно. 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2 статьи 42 Закона извещение об осуществлении закупки, если иное не предусмотрено Законом, должно содержать описание объекта закупки в соответствии со статьей 33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пунктам 1, 2 части 1 статьи 33 Закона заказчик в случаях, предусмотренных Законом, при описании объекта закупки должен руководствоваться следующими правилами: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 (пункт 1);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2024-4541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 (пункт 2).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33 Закона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рассматриваемой закупки является поставка горизонтального парового стерилизатора, оказание услуг по монтажу, вводу в эксплуатацию товара, инструктажу и обучению лиц, осуществляющих использование оборудования; код позиции КТРУ 32.50.50.190-00000064 «Стерилизатор паровой для неупакованных изделий».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содержится в приложении к Извещению (далее - Техническое задание).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Технического задания следует, что Заказчиком закупается «Стерилизатор паровой для неупакованных изделий код: 32.50.50.190-00000064; наименование: стерилизатор паровой для неупакованных изделий; версия: 2».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сведениям, размещенным в разделе «Каталог» ЕИС в отношении кода КТРУ 32.50.50.190-00000064: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включения позиции в каталог - 14.03.2019;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начала обязательного применения - 16.07.2022;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окончания применения - бессрочно.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Номенклатурная классификация медицинских изделий по видам 125810: Стерилизатор паровой для неупакованных изделий «Работающее от сети (сети переменного тока) устройство, разработанное для полного уничтожения и/или инактивации микроорганизмов на медицинских изделиях, не помещенных в упаковку для стерилизации, с использованием сжатого пара (т.е., влажного тепла) в качестве стерилизующего вещества; используется для стерилизации изделий, не чувствительных к воздействию высоких температур, воды или пара. Как правило, состоит из камеры с полками, в которую после очистки от основных загрязнений помещают медицинские изделия; средства подачи пара в камеру; а также элементов управления для регулировки времени и/или температуры стерилизации. Доступны изделия различных форм и размеров, включая автономные и настольные блоки».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Поскольку Заказчиком закупается стерилизатор для неупакованных изделий, применение при описании объекта закупки кода позиции КТРУ 32.50.50.190-00000064 не противоречит требованиям действующего законодательства.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 как код позиции КТРУ не содержит обязательные и необязательные характеристики, то Заказчик при описании объекта закупки вправе был самостоятельно устанавливать характеристики к закупаемому товару в соответствии со статьей 33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700" w:right="534" w:bottom="764" w:left="1099" w:header="0" w:footer="33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таких обстоятельствах, Заказчику при формировании описания объекта закупки в рамках Закона были предоставлены полномочия по самостоятельному определению параметров и характеристик товара, в наибольшей степени удовлетворяющих его потребности. 2024-4541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основной целью осуществления закупок в соответствии с законодательством о контрактной системе является приобретение качественных товаров (работ, услуг), характеристики и потребительские свойства которых отвечают действительным потребностям Заказчика. Таким образом, нарушений при описании объекта закупки не установлено.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техническим характеристикам требуемого к поставке оборудования соответствует товар нескольких производителей (ПАО «Медоборудование», ПЗ «Касимовский приборный завод»),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 выше, жалоба Заявителя не находит своего подтверждения.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 и руководствуясь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Смоленского УФАС России по контролю в сфере закупок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Общества с ограниченной ответственностью «Амедис Инжиниринг» на положения Извещения государственного заказчика - Областного государственного бюджетного учреждения здравоохранения «Поликлиника № 6», уполномоченного органа - Главного управления Смоленской области по регулированию Поставка медицинского оборудования (Горизонтальный паровой стерилизатор) с монтажом и вводом в эксплуатацию поставляемого оборудования, с проведением инструктажа и обучения лиц, осуществляющих использование поставляемого оборудования для нужд ОГБУЗ «Поликлиника № 6»» (извещение №0163200000324005673)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председателя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700" w:right="522" w:bottom="170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88.70000000000005pt;width:50.1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0.1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88.70000000000005pt;width:50.149999999999999pt;height:7.90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762635</wp:posOffset>
              </wp:positionV>
              <wp:extent cx="6413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9999999999999pt;margin-top:60.050000000000004pt;width:5.0499999999999998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762635</wp:posOffset>
              </wp:positionV>
              <wp:extent cx="5461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0000000000002pt;margin-top:60.050000000000004pt;width:4.2999999999999998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762635</wp:posOffset>
              </wp:positionV>
              <wp:extent cx="6413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9999999999999pt;margin-top:60.050000000000004pt;width:5.0499999999999998pt;height:7.90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293"/>
      <w:sz w:val="16"/>
      <w:szCs w:val="1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Колонтитул (2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30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293"/>
      <w:sz w:val="16"/>
      <w:szCs w:val="1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3"/>
    <w:basedOn w:val="Normal"/>
    <w:link w:val="CharStyle16"/>
    <w:pPr>
      <w:widowControl w:val="0"/>
      <w:shd w:val="clear" w:color="auto" w:fill="auto"/>
      <w:spacing w:line="202" w:lineRule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Колонтитул (2)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1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/Relationships>
</file>