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3533140</wp:posOffset>
            </wp:positionH>
            <wp:positionV relativeFrom="paragraph">
              <wp:posOffset>130810</wp:posOffset>
            </wp:positionV>
            <wp:extent cx="585470" cy="65849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85470" cy="658495"/>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УПРАВЛЕНИЕ</w:t>
      </w:r>
    </w:p>
    <w:p>
      <w:pPr>
        <w:pStyle w:val="Style2"/>
        <w:keepNext w:val="0"/>
        <w:keepLines w:val="0"/>
        <w:widowControl w:val="0"/>
        <w:shd w:val="clear" w:color="auto" w:fill="auto"/>
        <w:bidi w:val="0"/>
        <w:spacing w:before="0" w:after="280" w:line="240" w:lineRule="auto"/>
        <w:ind w:left="0" w:right="0" w:firstLine="0"/>
        <w:jc w:val="center"/>
      </w:pPr>
      <w:r>
        <w:rPr>
          <w:spacing w:val="0"/>
          <w:w w:val="100"/>
          <w:position w:val="0"/>
          <w:sz w:val="24"/>
          <w:szCs w:val="24"/>
          <w:shd w:val="clear" w:color="auto" w:fill="auto"/>
          <w:lang w:val="ru-RU" w:eastAsia="ru-RU" w:bidi="ru-RU"/>
        </w:rP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 xml:space="preserve">ул. Московская, д. </w:t>
      </w:r>
      <w:r>
        <w:rPr>
          <w:color w:val="373975"/>
          <w:spacing w:val="0"/>
          <w:w w:val="100"/>
          <w:position w:val="0"/>
          <w:shd w:val="clear" w:color="auto" w:fill="auto"/>
          <w:lang w:val="ru-RU" w:eastAsia="ru-RU" w:bidi="ru-RU"/>
        </w:rPr>
        <w:t xml:space="preserve">55, </w:t>
      </w:r>
      <w:r>
        <w:rPr>
          <w:spacing w:val="0"/>
          <w:w w:val="100"/>
          <w:position w:val="0"/>
          <w:shd w:val="clear" w:color="auto" w:fill="auto"/>
          <w:lang w:val="ru-RU" w:eastAsia="ru-RU" w:bidi="ru-RU"/>
        </w:rPr>
        <w:t>г. Казань, 420021</w:t>
        <w:br/>
        <w:t>тел.: (843) 236-89-22, факс (843) 238-19-46</w:t>
        <w:br/>
        <w:t>е-таП: Ю16@Га8.§оу.ги</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ХЕЗМЭТ</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z w:val="24"/>
          <w:szCs w:val="24"/>
          <w:shd w:val="clear" w:color="auto" w:fill="auto"/>
          <w:lang w:val="ru-RU" w:eastAsia="ru-RU" w:bidi="ru-RU"/>
        </w:rPr>
        <w:t>Монополиягэ каршы</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0" w:line="288" w:lineRule="auto"/>
        <w:ind w:left="0" w:right="0" w:firstLine="0"/>
        <w:jc w:val="center"/>
        <w:sectPr>
          <w:headerReference w:type="default" r:id="rId7"/>
          <w:headerReference w:type="first" r:id="rId8"/>
          <w:footnotePr>
            <w:pos w:val="pageBottom"/>
            <w:numFmt w:val="decimal"/>
            <w:numRestart w:val="continuous"/>
          </w:footnotePr>
          <w:pgSz w:w="11900" w:h="16840"/>
          <w:pgMar w:top="945" w:right="1435" w:bottom="1061" w:left="1129" w:header="0" w:footer="3" w:gutter="0"/>
          <w:pgNumType w:start="1"/>
          <w:cols w:num="2" w:space="720" w:equalWidth="0">
            <w:col w:w="3701" w:space="2429"/>
            <w:col w:w="3206"/>
          </w:cols>
          <w:noEndnote/>
          <w:titlePg/>
          <w:rtlGutter w:val="0"/>
          <w:docGrid w:linePitch="360"/>
        </w:sectPr>
      </w:pPr>
      <w:r>
        <w:rPr>
          <w:spacing w:val="0"/>
          <w:w w:val="100"/>
          <w:position w:val="0"/>
          <w:shd w:val="clear" w:color="auto" w:fill="auto"/>
          <w:lang w:val="ru-RU" w:eastAsia="ru-RU" w:bidi="ru-RU"/>
        </w:rPr>
        <w:t xml:space="preserve">Мэскэу ур., </w:t>
      </w:r>
      <w:r>
        <w:rPr>
          <w:color w:val="373975"/>
          <w:spacing w:val="0"/>
          <w:w w:val="100"/>
          <w:position w:val="0"/>
          <w:shd w:val="clear" w:color="auto" w:fill="auto"/>
          <w:lang w:val="ru-RU" w:eastAsia="ru-RU" w:bidi="ru-RU"/>
        </w:rPr>
        <w:t xml:space="preserve">55 </w:t>
      </w:r>
      <w:r>
        <w:rPr>
          <w:spacing w:val="0"/>
          <w:w w:val="100"/>
          <w:position w:val="0"/>
          <w:shd w:val="clear" w:color="auto" w:fill="auto"/>
          <w:lang w:val="ru-RU" w:eastAsia="ru-RU" w:bidi="ru-RU"/>
        </w:rPr>
        <w:t>Йорг, Казан шэИэре, 420021</w:t>
        <w:br/>
        <w:t>тел.: (843) 236-89-22, факс (843) 238-19-46</w:t>
        <w:br/>
        <w:t>е-таН: 1о16@Газ.§оу.ги</w:t>
      </w:r>
    </w:p>
    <w:p>
      <w:pPr>
        <w:widowControl w:val="0"/>
        <w:spacing w:line="52" w:lineRule="exact"/>
        <w:rPr>
          <w:sz w:val="4"/>
          <w:szCs w:val="4"/>
        </w:rPr>
      </w:pPr>
    </w:p>
    <w:p>
      <w:pPr>
        <w:widowControl w:val="0"/>
        <w:spacing w:line="1" w:lineRule="exact"/>
        <w:sectPr>
          <w:footnotePr>
            <w:pos w:val="pageBottom"/>
            <w:numFmt w:val="decimal"/>
            <w:numRestart w:val="continuous"/>
          </w:footnotePr>
          <w:type w:val="continuous"/>
          <w:pgSz w:w="11900" w:h="16840"/>
          <w:pgMar w:top="1023" w:right="0" w:bottom="1183" w:left="0" w:header="0" w:footer="3" w:gutter="0"/>
          <w:cols w:space="720"/>
          <w:noEndnote/>
          <w:rtlGutter w:val="0"/>
          <w:docGrid w:linePitch="360"/>
        </w:sectPr>
      </w:pPr>
    </w:p>
    <w:p>
      <w:pPr>
        <w:pStyle w:val="Style2"/>
        <w:keepNext w:val="0"/>
        <w:keepLines w:val="0"/>
        <w:widowControl w:val="0"/>
        <w:shd w:val="clear" w:color="auto" w:fill="auto"/>
        <w:bidi w:val="0"/>
        <w:spacing w:before="0" w:after="300" w:line="240" w:lineRule="auto"/>
        <w:ind w:left="0" w:right="0" w:firstLine="0"/>
        <w:jc w:val="both"/>
      </w:pPr>
      <w:r>
        <w:rPr>
          <w:b w:val="0"/>
          <w:bCs w:val="0"/>
          <w:i/>
          <w:iCs/>
          <w:color w:val="4A6392"/>
          <w:spacing w:val="0"/>
          <w:w w:val="100"/>
          <w:position w:val="0"/>
          <w:sz w:val="36"/>
          <w:szCs w:val="36"/>
          <w:u w:val="single"/>
          <w:shd w:val="clear" w:color="auto" w:fill="auto"/>
          <w:lang w:val="ru-RU" w:eastAsia="ru-RU" w:bidi="ru-RU"/>
        </w:rPr>
        <w:t>о</w:t>
      </w:r>
      <w:r>
        <w:rPr>
          <w:b w:val="0"/>
          <w:bCs w:val="0"/>
          <w:i/>
          <w:iCs/>
          <w:color w:val="373975"/>
          <w:spacing w:val="0"/>
          <w:w w:val="100"/>
          <w:position w:val="0"/>
          <w:sz w:val="36"/>
          <w:szCs w:val="36"/>
          <w:u w:val="single"/>
          <w:shd w:val="clear" w:color="auto" w:fill="auto"/>
          <w:lang w:val="ru-RU" w:eastAsia="ru-RU" w:bidi="ru-RU"/>
        </w:rPr>
        <w:t>1</w:t>
      </w:r>
      <w:r>
        <w:rPr>
          <w:b w:val="0"/>
          <w:bCs w:val="0"/>
          <w:color w:val="373975"/>
          <w:spacing w:val="0"/>
          <w:w w:val="100"/>
          <w:position w:val="0"/>
          <w:sz w:val="24"/>
          <w:szCs w:val="24"/>
          <w:u w:val="single"/>
          <w:shd w:val="clear" w:color="auto" w:fill="auto"/>
          <w:lang w:val="ru-RU" w:eastAsia="ru-RU" w:bidi="ru-RU"/>
        </w:rPr>
        <w:t xml:space="preserve"> </w:t>
      </w:r>
      <w:r>
        <w:rPr>
          <w:b w:val="0"/>
          <w:bCs w:val="0"/>
          <w:color w:val="4A6392"/>
          <w:spacing w:val="0"/>
          <w:w w:val="100"/>
          <w:position w:val="0"/>
          <w:sz w:val="24"/>
          <w:szCs w:val="24"/>
          <w:u w:val="single"/>
          <w:shd w:val="clear" w:color="auto" w:fill="auto"/>
          <w:lang w:val="ru-RU" w:eastAsia="ru-RU" w:bidi="ru-RU"/>
        </w:rPr>
        <w:t xml:space="preserve">/а </w:t>
      </w:r>
      <w:r>
        <w:rPr>
          <w:b w:val="0"/>
          <w:bCs w:val="0"/>
          <w:i/>
          <w:iCs/>
          <w:color w:val="4A6392"/>
          <w:spacing w:val="0"/>
          <w:w w:val="100"/>
          <w:position w:val="0"/>
          <w:sz w:val="36"/>
          <w:szCs w:val="36"/>
          <w:u w:val="single"/>
          <w:shd w:val="clear" w:color="auto" w:fill="auto"/>
          <w:lang w:val="ru-RU" w:eastAsia="ru-RU" w:bidi="ru-RU"/>
        </w:rPr>
        <w:t>Ш ч</w:t>
      </w:r>
      <w:r>
        <w:rPr>
          <w:b w:val="0"/>
          <w:bCs w:val="0"/>
          <w:color w:val="4A6392"/>
          <w:spacing w:val="0"/>
          <w:w w:val="100"/>
          <w:position w:val="0"/>
          <w:sz w:val="24"/>
          <w:szCs w:val="24"/>
          <w:u w:val="single"/>
          <w:shd w:val="clear" w:color="auto" w:fill="auto"/>
          <w:lang w:val="ru-RU" w:eastAsia="ru-RU" w:bidi="ru-RU"/>
        </w:rPr>
        <w:t xml:space="preserve"> № Ж </w:t>
      </w:r>
      <w:r>
        <w:rPr>
          <w:b w:val="0"/>
          <w:bCs w:val="0"/>
          <w:color w:val="373975"/>
          <w:spacing w:val="0"/>
          <w:w w:val="100"/>
          <w:position w:val="0"/>
          <w:sz w:val="24"/>
          <w:szCs w:val="24"/>
          <w:u w:val="single"/>
          <w:shd w:val="clear" w:color="auto" w:fill="auto"/>
          <w:lang w:val="ru-RU" w:eastAsia="ru-RU" w:bidi="ru-RU"/>
        </w:rPr>
        <w:t>-</w:t>
      </w:r>
    </w:p>
    <w:p>
      <w:pPr>
        <w:pStyle w:val="Style2"/>
        <w:keepNext w:val="0"/>
        <w:keepLines w:val="0"/>
        <w:widowControl w:val="0"/>
        <w:shd w:val="clear" w:color="auto" w:fill="auto"/>
        <w:bidi w:val="0"/>
        <w:spacing w:before="0" w:after="300" w:line="240" w:lineRule="auto"/>
        <w:ind w:left="0" w:right="0" w:firstLine="0"/>
        <w:jc w:val="left"/>
      </w:pPr>
      <w:r>
        <w:rPr>
          <w:b w:val="0"/>
          <w:bCs w:val="0"/>
          <w:spacing w:val="0"/>
          <w:w w:val="100"/>
          <w:position w:val="0"/>
          <w:sz w:val="24"/>
          <w:szCs w:val="24"/>
          <w:shd w:val="clear" w:color="auto" w:fill="auto"/>
          <w:lang w:val="ru-RU" w:eastAsia="ru-RU" w:bidi="ru-RU"/>
        </w:rPr>
        <w:t xml:space="preserve">На </w:t>
      </w:r>
      <w:r>
        <w:rPr>
          <w:b w:val="0"/>
          <w:bCs w:val="0"/>
          <w:color w:val="4A6392"/>
          <w:spacing w:val="0"/>
          <w:w w:val="100"/>
          <w:position w:val="0"/>
          <w:sz w:val="24"/>
          <w:szCs w:val="24"/>
          <w:shd w:val="clear" w:color="auto" w:fill="auto"/>
          <w:lang w:val="ru-RU" w:eastAsia="ru-RU" w:bidi="ru-RU"/>
        </w:rPr>
        <w:t>№</w:t>
      </w:r>
      <w:r>
        <w:rPr>
          <w:b w:val="0"/>
          <w:bCs w:val="0"/>
          <w:spacing w:val="0"/>
          <w:w w:val="100"/>
          <w:position w:val="0"/>
          <w:sz w:val="24"/>
          <w:szCs w:val="24"/>
          <w:shd w:val="clear" w:color="auto" w:fill="auto"/>
          <w:lang w:val="ru-RU" w:eastAsia="ru-RU" w:bidi="ru-RU"/>
        </w:rPr>
        <w:t>от</w:t>
      </w:r>
    </w:p>
    <w:p>
      <w:pPr>
        <w:pStyle w:val="Style15"/>
        <w:keepNext w:val="0"/>
        <w:keepLines w:val="0"/>
        <w:widowControl w:val="0"/>
        <w:shd w:val="clear" w:color="auto" w:fill="auto"/>
        <w:bidi w:val="0"/>
        <w:spacing w:before="0" w:after="0" w:line="240" w:lineRule="auto"/>
        <w:ind w:left="5240" w:right="0" w:firstLine="20"/>
        <w:jc w:val="left"/>
      </w:pPr>
      <w:r>
        <w:rPr>
          <w:color w:val="000000"/>
          <w:spacing w:val="0"/>
          <w:w w:val="100"/>
          <w:position w:val="0"/>
          <w:shd w:val="clear" w:color="auto" w:fill="auto"/>
          <w:lang w:val="ru-RU" w:eastAsia="ru-RU" w:bidi="ru-RU"/>
        </w:rPr>
        <w:t>Заказчику:</w:t>
      </w:r>
    </w:p>
    <w:p>
      <w:pPr>
        <w:pStyle w:val="Style15"/>
        <w:keepNext w:val="0"/>
        <w:keepLines w:val="0"/>
        <w:widowControl w:val="0"/>
        <w:shd w:val="clear" w:color="auto" w:fill="auto"/>
        <w:bidi w:val="0"/>
        <w:spacing w:before="0" w:after="0" w:line="240" w:lineRule="auto"/>
        <w:ind w:left="5240" w:right="0" w:firstLine="20"/>
        <w:jc w:val="left"/>
      </w:pPr>
      <w:r>
        <w:rPr>
          <w:color w:val="000000"/>
          <w:spacing w:val="0"/>
          <w:w w:val="100"/>
          <w:position w:val="0"/>
          <w:shd w:val="clear" w:color="auto" w:fill="auto"/>
          <w:lang w:val="ru-RU" w:eastAsia="ru-RU" w:bidi="ru-RU"/>
        </w:rPr>
        <w:t>ОСФР ПО РЕСПУБЛИКЕ ТАТАРСТАН</w:t>
      </w:r>
    </w:p>
    <w:p>
      <w:pPr>
        <w:pStyle w:val="Style15"/>
        <w:keepNext w:val="0"/>
        <w:keepLines w:val="0"/>
        <w:widowControl w:val="0"/>
        <w:shd w:val="clear" w:color="auto" w:fill="auto"/>
        <w:bidi w:val="0"/>
        <w:spacing w:before="0" w:after="300" w:line="240" w:lineRule="auto"/>
        <w:ind w:left="5240" w:right="0" w:firstLine="20"/>
        <w:jc w:val="left"/>
      </w:pPr>
      <w:r>
        <w:rPr>
          <w:color w:val="000000"/>
          <w:spacing w:val="0"/>
          <w:w w:val="100"/>
          <w:position w:val="0"/>
          <w:u w:val="single"/>
          <w:shd w:val="clear" w:color="auto" w:fill="auto"/>
          <w:lang w:val="ru-RU" w:eastAsia="ru-RU" w:bidi="ru-RU"/>
        </w:rPr>
        <w:t>%1туаШШпаоа@Д6.8Й.ЕОУ.ги</w:t>
      </w:r>
    </w:p>
    <w:p>
      <w:pPr>
        <w:pStyle w:val="Style15"/>
        <w:keepNext w:val="0"/>
        <w:keepLines w:val="0"/>
        <w:widowControl w:val="0"/>
        <w:shd w:val="clear" w:color="auto" w:fill="auto"/>
        <w:bidi w:val="0"/>
        <w:spacing w:before="0" w:after="0" w:line="240" w:lineRule="auto"/>
        <w:ind w:left="5240" w:right="0" w:firstLine="20"/>
        <w:jc w:val="left"/>
      </w:pPr>
      <w:r>
        <w:rPr>
          <w:color w:val="000000"/>
          <w:spacing w:val="0"/>
          <w:w w:val="100"/>
          <w:position w:val="0"/>
          <w:shd w:val="clear" w:color="auto" w:fill="auto"/>
          <w:lang w:val="ru-RU" w:eastAsia="ru-RU" w:bidi="ru-RU"/>
        </w:rPr>
        <w:t>Заявителю:</w:t>
      </w:r>
    </w:p>
    <w:p>
      <w:pPr>
        <w:pStyle w:val="Style15"/>
        <w:keepNext w:val="0"/>
        <w:keepLines w:val="0"/>
        <w:widowControl w:val="0"/>
        <w:shd w:val="clear" w:color="auto" w:fill="auto"/>
        <w:bidi w:val="0"/>
        <w:spacing w:before="0" w:after="640" w:line="240" w:lineRule="auto"/>
        <w:ind w:left="5240" w:right="0" w:firstLine="20"/>
        <w:jc w:val="left"/>
      </w:pPr>
      <w:r>
        <w:rPr>
          <w:color w:val="000000"/>
          <w:spacing w:val="0"/>
          <w:w w:val="100"/>
          <w:position w:val="0"/>
          <w:shd w:val="clear" w:color="auto" w:fill="auto"/>
          <w:lang w:val="ru-RU" w:eastAsia="ru-RU" w:bidi="ru-RU"/>
        </w:rPr>
        <w:t xml:space="preserve">АО «АйТим Технолоджис» </w:t>
      </w:r>
      <w:r>
        <w:rPr>
          <w:color w:val="000000"/>
          <w:spacing w:val="0"/>
          <w:w w:val="100"/>
          <w:position w:val="0"/>
          <w:u w:val="single"/>
          <w:shd w:val="clear" w:color="auto" w:fill="auto"/>
          <w:lang w:val="ru-RU" w:eastAsia="ru-RU" w:bidi="ru-RU"/>
        </w:rPr>
        <w:t>ацо1иЬеу@йеат.циги аЪидгоу@1е1а.ги</w:t>
      </w:r>
    </w:p>
    <w:p>
      <w:pPr>
        <w:pStyle w:val="Style15"/>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Решение по делу № 016/06/42-1363/2024</w:t>
        <w:br/>
        <w:t>о нарушении законодательства в сфере закупок товаров, работ, услуг</w:t>
        <w:br/>
        <w:t>для обеспечения государственных и муниципальных нужд</w:t>
      </w:r>
    </w:p>
    <w:p>
      <w:pPr>
        <w:pStyle w:val="Style15"/>
        <w:keepNext w:val="0"/>
        <w:keepLines w:val="0"/>
        <w:widowControl w:val="0"/>
        <w:shd w:val="clear" w:color="auto" w:fill="auto"/>
        <w:tabs>
          <w:tab w:pos="8923" w:val="left"/>
        </w:tabs>
        <w:bidi w:val="0"/>
        <w:spacing w:before="0" w:after="300" w:line="240" w:lineRule="auto"/>
        <w:ind w:left="0" w:right="0" w:firstLine="0"/>
        <w:jc w:val="both"/>
      </w:pPr>
      <w:r>
        <w:rPr>
          <w:color w:val="000000"/>
          <w:spacing w:val="0"/>
          <w:w w:val="100"/>
          <w:position w:val="0"/>
          <w:shd w:val="clear" w:color="auto" w:fill="auto"/>
          <w:lang w:val="ru-RU" w:eastAsia="ru-RU" w:bidi="ru-RU"/>
        </w:rPr>
        <w:t>03 октября 2024 года</w:t>
        <w:tab/>
        <w:t>г. Казань</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5"/>
        <w:keepNext w:val="0"/>
        <w:keepLines w:val="0"/>
        <w:widowControl w:val="0"/>
        <w:shd w:val="clear" w:color="auto" w:fill="auto"/>
        <w:tabs>
          <w:tab w:pos="6052" w:val="left"/>
        </w:tabs>
        <w:bidi w:val="0"/>
        <w:spacing w:before="0" w:after="0" w:line="240" w:lineRule="auto"/>
        <w:ind w:left="0" w:right="0" w:firstLine="820"/>
        <w:jc w:val="left"/>
      </w:pPr>
      <w:r>
        <w:rPr>
          <w:color w:val="000000"/>
          <w:spacing w:val="0"/>
          <w:w w:val="100"/>
          <w:position w:val="0"/>
          <w:shd w:val="clear" w:color="auto" w:fill="auto"/>
          <w:lang w:val="ru-RU" w:eastAsia="ru-RU" w:bidi="ru-RU"/>
        </w:rPr>
        <w:t>Председателя Комиссии:</w:t>
        <w:tab/>
        <w:t>Яфизова А.А. - заместителя</w:t>
      </w:r>
    </w:p>
    <w:p>
      <w:pPr>
        <w:pStyle w:val="Style15"/>
        <w:keepNext w:val="0"/>
        <w:keepLines w:val="0"/>
        <w:widowControl w:val="0"/>
        <w:shd w:val="clear" w:color="auto" w:fill="auto"/>
        <w:bidi w:val="0"/>
        <w:spacing w:before="0" w:after="0" w:line="240" w:lineRule="auto"/>
        <w:ind w:left="6060" w:right="0" w:firstLine="0"/>
        <w:jc w:val="left"/>
      </w:pPr>
      <w:r>
        <w:rPr>
          <w:color w:val="000000"/>
          <w:spacing w:val="0"/>
          <w:w w:val="100"/>
          <w:position w:val="0"/>
          <w:shd w:val="clear" w:color="auto" w:fill="auto"/>
          <w:lang w:val="ru-RU" w:eastAsia="ru-RU" w:bidi="ru-RU"/>
        </w:rPr>
        <w:t>руководителя,</w:t>
      </w:r>
    </w:p>
    <w:p>
      <w:pPr>
        <w:pStyle w:val="Style15"/>
        <w:keepNext w:val="0"/>
        <w:keepLines w:val="0"/>
        <w:widowControl w:val="0"/>
        <w:shd w:val="clear" w:color="auto" w:fill="auto"/>
        <w:tabs>
          <w:tab w:pos="6052" w:val="left"/>
        </w:tabs>
        <w:bidi w:val="0"/>
        <w:spacing w:before="0" w:after="0" w:line="240" w:lineRule="auto"/>
        <w:ind w:left="0" w:right="0" w:firstLine="820"/>
        <w:jc w:val="left"/>
      </w:pPr>
      <w:r>
        <w:rPr>
          <w:color w:val="000000"/>
          <w:spacing w:val="0"/>
          <w:w w:val="100"/>
          <w:position w:val="0"/>
          <w:shd w:val="clear" w:color="auto" w:fill="auto"/>
          <w:lang w:val="ru-RU" w:eastAsia="ru-RU" w:bidi="ru-RU"/>
        </w:rPr>
        <w:t>Членов Комиссии:</w:t>
        <w:tab/>
        <w:t>Курмаевой Г.Р. - старшего</w:t>
      </w:r>
    </w:p>
    <w:p>
      <w:pPr>
        <w:pStyle w:val="Style15"/>
        <w:keepNext w:val="0"/>
        <w:keepLines w:val="0"/>
        <w:widowControl w:val="0"/>
        <w:shd w:val="clear" w:color="auto" w:fill="auto"/>
        <w:bidi w:val="0"/>
        <w:spacing w:before="0" w:after="0" w:line="240" w:lineRule="auto"/>
        <w:ind w:left="6060" w:right="0" w:firstLine="0"/>
        <w:jc w:val="left"/>
      </w:pPr>
      <w:r>
        <w:rPr>
          <w:color w:val="000000"/>
          <w:spacing w:val="0"/>
          <w:w w:val="100"/>
          <w:position w:val="0"/>
          <w:shd w:val="clear" w:color="auto" w:fill="auto"/>
          <w:lang w:val="ru-RU" w:eastAsia="ru-RU" w:bidi="ru-RU"/>
        </w:rPr>
        <w:t>государственного инспектора, Никитиной И.Г. - специалиста 1 разряда,</w:t>
      </w:r>
    </w:p>
    <w:p>
      <w:pPr>
        <w:pStyle w:val="Style15"/>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 ОСФР ПО РЕСПУБЛИКЕ ТАТАРСТАН - Котилевского А.О. (по доверенности), Коваль Л.В. (по доверенности), Гиниятуллиной О.А. (по доверенности), представителя заявителя АО «АйТим Технолоджис» - Голубева А.А. (по доверенности), рассмотрев посредством видеоконференции жалобу заявителя АО «АйТим Технолоджис» (вх. №10435 от 27.09.2024г., ЕИС от 26.09.2024г.) на действия заказчика - ОСФР ПО РЕСПУБЛИКЕ ТАТАРСТАН при проведении закупки №0211100000224000305 на предмет:</w:t>
      </w:r>
    </w:p>
    <w:p>
      <w:pPr>
        <w:pStyle w:val="Style15"/>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«Поставка программно-аппаратных комплексов «Автоматизированная система управления очередью» (ПАК АСУО) (закупка для ИКТ) с установкой»,</w:t>
      </w:r>
    </w:p>
    <w:p>
      <w:pPr>
        <w:pStyle w:val="Style15"/>
        <w:keepNext w:val="0"/>
        <w:keepLines w:val="0"/>
        <w:widowControl w:val="0"/>
        <w:shd w:val="clear" w:color="auto" w:fill="auto"/>
        <w:bidi w:val="0"/>
        <w:spacing w:before="0" w:after="30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Извещение о проведении электронного аукциона №0211100000224000305 на предмет: «Поставка программно-аппаратных комплексов «Автоматизированная система управления очередью» (ПАК АСУО) (закупка для ИКТ) с установкой»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уулууу.гакиркх.цоу.гп</w:t>
      </w:r>
      <w:r>
        <w:rPr>
          <w:color w:val="000000"/>
          <w:spacing w:val="0"/>
          <w:w w:val="100"/>
          <w:position w:val="0"/>
          <w:shd w:val="clear" w:color="auto" w:fill="auto"/>
          <w:lang w:val="ru-RU" w:eastAsia="ru-RU" w:bidi="ru-RU"/>
        </w:rPr>
        <w:t xml:space="preserve"> 19.09.2024г.</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позиции заказчика и изучения документации приходит к следующим выводам.</w:t>
      </w:r>
    </w:p>
    <w:p>
      <w:pPr>
        <w:pStyle w:val="Style15"/>
        <w:keepNext w:val="0"/>
        <w:keepLines w:val="0"/>
        <w:widowControl w:val="0"/>
        <w:numPr>
          <w:ilvl w:val="0"/>
          <w:numId w:val="1"/>
        </w:numPr>
        <w:shd w:val="clear" w:color="auto" w:fill="auto"/>
        <w:tabs>
          <w:tab w:pos="99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 неприменении информации, включенной в позицию каталога.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И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критериях оценки заявок на участие в конкурсах, величины значимости этих критериев в соответствии с Законом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 Постановлением Правительства РФ от 08.02.2017г.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w:t>
      </w:r>
      <w:r>
        <w:rPr>
          <w:color w:val="000000"/>
          <w:spacing w:val="0"/>
          <w:w w:val="100"/>
          <w:position w:val="0"/>
          <w:shd w:val="clear" w:color="auto" w:fill="auto"/>
          <w:lang w:val="ru-RU" w:eastAsia="ru-RU" w:bidi="ru-RU"/>
        </w:rPr>
        <w:t>муниципальных нужд, правила использования каталога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пункта 4 Постановления Правительства РФ от 08.02.2017 №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3"/>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товара, работы, услуги;</w:t>
      </w:r>
    </w:p>
    <w:p>
      <w:pPr>
        <w:pStyle w:val="Style15"/>
        <w:keepNext w:val="0"/>
        <w:keepLines w:val="0"/>
        <w:widowControl w:val="0"/>
        <w:numPr>
          <w:ilvl w:val="0"/>
          <w:numId w:val="3"/>
        </w:numPr>
        <w:shd w:val="clear" w:color="auto" w:fill="auto"/>
        <w:tabs>
          <w:tab w:pos="11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3"/>
        </w:numPr>
        <w:shd w:val="clear" w:color="auto" w:fill="auto"/>
        <w:tabs>
          <w:tab w:pos="104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представленным доводам жалобы заявителя, для всех товаров, входящих в объект закупки, Заказчик указал код ОКПД2 26.20.15.170, однако Код ОКПД2 определен Заказчиком неверно. В соответствии с "ОК 034-2014 (КПЕС 2008). Общероссийский классификатор продукции по видам экономической деятельности" (утв. Приказом Госстандарта от 31.01.2014 Ы 14-ст) для указанного кода 26.20.15.170 установлено следующее описание: машины вычислительные электронные цифровые и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с функциями безопасности информации, обеспеченными встроенными, в том числе криптографическими, средствами защиты. При этом регистрационный терминал, главное информационное табло, кронштейн для главного информационного табло, матричное светодиодное табло рабочего места оператора, блок коммутации РОЕ для матричного светодиодного табло, блок коммутации не относятся к продукции, предусмотренной кодом 26.20.15.170.</w:t>
      </w:r>
    </w:p>
    <w:p>
      <w:pPr>
        <w:pStyle w:val="Style15"/>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Заявитель указывает, что каждый тип товара, являющийся объектом закупки, имеет самостоятельный код в КТРУ и (или) ОКПД2 и должен быть описан с учетом требований и ограничений, предусмотренных КТРУ и правилами его применения, а именно:</w:t>
      </w:r>
    </w:p>
    <w:tbl>
      <w:tblPr>
        <w:tblOverlap w:val="never"/>
        <w:jc w:val="center"/>
        <w:tblLayout w:type="fixed"/>
      </w:tblPr>
      <w:tblGrid>
        <w:gridCol w:w="3379"/>
        <w:gridCol w:w="3485"/>
        <w:gridCol w:w="3379"/>
      </w:tblGrid>
      <w:tr>
        <w:trPr>
          <w:trHeight w:val="278"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Тип товара</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Применимый код КТРУ</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Применимый код ОКПД2</w:t>
            </w:r>
          </w:p>
        </w:tc>
      </w:tr>
      <w:tr>
        <w:trPr>
          <w:trHeight w:val="773"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Регистрационный терминал электронной очереди</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26.20.16.140-00000002</w:t>
            </w:r>
          </w:p>
          <w:p>
            <w:pPr>
              <w:pStyle w:val="Style23"/>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(информационный терминал)</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26.20.16.140 (терминалы ввода/вывода данных)</w:t>
            </w:r>
          </w:p>
        </w:tc>
      </w:tr>
      <w:tr>
        <w:trPr>
          <w:trHeight w:val="283" w:hRule="exact"/>
        </w:trPr>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Главное информационное</w:t>
            </w:r>
          </w:p>
        </w:tc>
        <w:tc>
          <w:tcPr>
            <w:tcBorders>
              <w:top w:val="single" w:sz="4"/>
              <w:left w:val="single" w:sz="4"/>
              <w:bottom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26.20.17.110-00000022</w:t>
            </w:r>
          </w:p>
        </w:tc>
        <w:tc>
          <w:tcPr>
            <w:tcBorders>
              <w:top w:val="single" w:sz="4"/>
              <w:left w:val="single" w:sz="4"/>
              <w:bottom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26.20.17.110 (мониторы,</w:t>
            </w:r>
          </w:p>
        </w:tc>
      </w:tr>
    </w:tbl>
    <w:p>
      <w:pPr>
        <w:widowControl w:val="0"/>
        <w:spacing w:line="1" w:lineRule="exact"/>
      </w:pPr>
    </w:p>
    <w:tbl>
      <w:tblPr>
        <w:tblOverlap w:val="never"/>
        <w:jc w:val="center"/>
        <w:tblLayout w:type="fixed"/>
      </w:tblPr>
      <w:tblGrid>
        <w:gridCol w:w="3398"/>
        <w:gridCol w:w="3470"/>
        <w:gridCol w:w="3379"/>
      </w:tblGrid>
      <w:tr>
        <w:trPr>
          <w:trHeight w:val="538" w:hRule="exact"/>
        </w:trPr>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табло</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(Монитор, подключаемый к компьютеру)</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подключаемые к компьютеру)</w:t>
            </w:r>
          </w:p>
        </w:tc>
      </w:tr>
      <w:tr>
        <w:trPr>
          <w:trHeight w:val="773"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Матричное светодиодное табло рабочего места оператора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26.20.17.110</w:t>
            </w:r>
          </w:p>
        </w:tc>
      </w:tr>
      <w:tr>
        <w:trPr>
          <w:trHeight w:val="773"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Блок коммутации РОЕ для матричного светодиодного табло</w:t>
            </w:r>
          </w:p>
        </w:tc>
        <w:tc>
          <w:tcPr>
            <w:tcBorders>
              <w:top w:val="single" w:sz="4"/>
              <w:lef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26.30.11.110-00000053</w:t>
            </w:r>
          </w:p>
        </w:tc>
        <w:tc>
          <w:tcPr>
            <w:tcBorders>
              <w:top w:val="single" w:sz="4"/>
              <w:left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26.30.11.122</w:t>
            </w:r>
          </w:p>
        </w:tc>
      </w:tr>
      <w:tr>
        <w:trPr>
          <w:trHeight w:val="264" w:hRule="exact"/>
        </w:trPr>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Блок коммутации</w:t>
            </w:r>
          </w:p>
        </w:tc>
        <w:tc>
          <w:tcPr>
            <w:tcBorders>
              <w:top w:val="single" w:sz="4"/>
              <w:lef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26.30.11.110-00000053</w:t>
            </w:r>
          </w:p>
        </w:tc>
        <w:tc>
          <w:tcPr>
            <w:tcBorders>
              <w:top w:val="single" w:sz="4"/>
              <w:left w:val="single" w:sz="4"/>
              <w:right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26.30.11.122</w:t>
            </w:r>
          </w:p>
        </w:tc>
      </w:tr>
      <w:tr>
        <w:trPr>
          <w:trHeight w:val="538" w:hRule="exact"/>
        </w:trPr>
        <w:tc>
          <w:tcPr>
            <w:tcBorders>
              <w:top w:val="single" w:sz="4"/>
              <w:left w:val="single" w:sz="4"/>
              <w:bottom w:val="single" w:sz="4"/>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Кронштейн для главного информационного табло</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25.94.12.190</w:t>
            </w:r>
          </w:p>
        </w:tc>
      </w:tr>
    </w:tbl>
    <w:p>
      <w:pPr>
        <w:widowControl w:val="0"/>
        <w:spacing w:after="299" w:line="1" w:lineRule="exact"/>
      </w:pP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представленным пояснениям Заказчика, учитывая, что в отношении товара, являвшегося объектом закупки, в каталоге товаров, работ, услуг для обеспечения государственных и муниципальных нужд отсутствовали соответствующие позиции, заказчик осуществил описание объекта закупки в соответствии с требованиями статьи 33 Федерального закона № 44-ФЗ.</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заказчик отмечает, что объектом закупки является поставка программно-аппаратных комплексов «Автоматизированная система управления очередью» для шести Клиентских служб. Программно-аппаратный комплекс «Автоматизированная система управления очередью» представляет собой единый работающий совместно комплект оборудования, оснащенный требуемым заказчику программным обеспечением с учетом особенностей его деятельности, а не самостоятельные товары, поэтому пункт 8 Правил использования КТРУ в данном случае неприменим.</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указал заказчик, необходимые к поставке автоматизированные системы управления очередью представляют собой комплекс конструктивно-сочлененных предметов, предназначенных для выполнения определенной работы и на учет ставится система, а не отдельные товары и каждой системе присваивается единый инвентарный номер. На каждый объект основных средств в регистрах бухгалтерского учета формируется инвентарная карточка, в которой отображаются все составляющие основного средства с указанием их характеристик. На баланс ставится комплекс «Автоматизированная система управления очередью» по каждому объекту инфраструктуры заказчика. Отдельно товары, указанные в жалобе, не будут приниматься к бухгалтерскому учету заказчика в соответствии с Федеральным законом от 06.12.2011 г. № 402-ФЗ «О бухгалтерском учете» и поэтому отдельно не приобретаются.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ходе рассмотрения Комиссия Татарстанского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Исходя из положений Правил, если описание закупки (содержащее характеристики) не сформировано и не включено в позицию каталога, заказчик при использовании такой позиции каталога самостоятельно осуществляет описание объекта закупки в соответствии с положениями статьи 33 Закона о контрактной системе (самостоятельно устанавливает в извещении об осуществлении закупки все характеристики закупаемого товара, работы, услуги). Предусмотренные пунктом 5 </w:t>
      </w:r>
      <w:r>
        <w:rPr>
          <w:color w:val="000000"/>
          <w:spacing w:val="0"/>
          <w:w w:val="100"/>
          <w:position w:val="0"/>
          <w:shd w:val="clear" w:color="auto" w:fill="auto"/>
          <w:lang w:val="ru-RU" w:eastAsia="ru-RU" w:bidi="ru-RU"/>
        </w:rPr>
        <w:t>Правил использования каталога запреты на указание дополнительных характеристик не применяются.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под отсутствием товара в каталоге товаров, работ, услуг для обеспечения государственных или муниципальных нужд следует понимать не только отсутствие соответствующего наименования товара, но и отсутствие в каталоге товара с необходимыми для Заказчика характеристиками.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Татарстанского УФАС России отмечает, что Закон о контрактной системе и иное федеральное законодательство или законодательство субъекта РФ не содержат положений, ограничивающих возможность Заказчика в самостоятельном определении кода ОКПД проводимых закупок.</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Закон о контрактной системе не регламентируют правила отнесения тех или иных товаров, работ или услуг к конкретному коду Общероссийского классификатора продукции по видам экономической деятельности.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определяя коды ОКПД, должен указывать наиболее подходящие по предмету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извещению по аукциону №0211100000224000305 к поставке необходим «Программно-аппаратный комплекс "Автоматизированная система управления очередью"» - код позиции ОКПД 2 - 26.20.15.170.</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Указанные заявителем коды КТРУ (26.20.16.140-00000002, 26.20.17.110- 00000022, 26.30.11.110-00000053) относятся к обособленно используемым устройствам, объектом же закупки является приобретение </w:t>
      </w:r>
      <w:r>
        <w:rPr>
          <w:color w:val="000000"/>
          <w:spacing w:val="0"/>
          <w:w w:val="100"/>
          <w:position w:val="0"/>
          <w:u w:val="single"/>
          <w:shd w:val="clear" w:color="auto" w:fill="auto"/>
          <w:lang w:val="ru-RU" w:eastAsia="ru-RU" w:bidi="ru-RU"/>
        </w:rPr>
        <w:t>комплекса</w:t>
      </w:r>
      <w:r>
        <w:rPr>
          <w:color w:val="000000"/>
          <w:spacing w:val="0"/>
          <w:w w:val="100"/>
          <w:position w:val="0"/>
          <w:shd w:val="clear" w:color="auto" w:fill="auto"/>
          <w:lang w:val="ru-RU" w:eastAsia="ru-RU" w:bidi="ru-RU"/>
        </w:rPr>
        <w:t xml:space="preserve"> с наличием в его составе вышеуказанных товаров.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Татарстанского УФАС России, изучив материалы дела, полагает, что действия Заказчика не противоречат действующему законодательству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Татарстанского УФАС России принимается во внимание,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Следовательно, довод заявителя признан необоснованным.</w:t>
      </w:r>
    </w:p>
    <w:p>
      <w:pPr>
        <w:pStyle w:val="Style15"/>
        <w:keepNext w:val="0"/>
        <w:keepLines w:val="0"/>
        <w:widowControl w:val="0"/>
        <w:numPr>
          <w:ilvl w:val="0"/>
          <w:numId w:val="1"/>
        </w:numPr>
        <w:shd w:val="clear" w:color="auto" w:fill="auto"/>
        <w:tabs>
          <w:tab w:pos="100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об указании заказчиком дополнительных характеристик, непредусмотренных позицией КТРУ и объединении товаров в один программно-аппаратный комплекс.</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5"/>
        <w:keepNext w:val="0"/>
        <w:keepLines w:val="0"/>
        <w:widowControl w:val="0"/>
        <w:numPr>
          <w:ilvl w:val="0"/>
          <w:numId w:val="5"/>
        </w:numPr>
        <w:shd w:val="clear" w:color="auto" w:fill="auto"/>
        <w:tabs>
          <w:tab w:pos="11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И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5"/>
        <w:keepNext w:val="0"/>
        <w:keepLines w:val="0"/>
        <w:widowControl w:val="0"/>
        <w:numPr>
          <w:ilvl w:val="0"/>
          <w:numId w:val="5"/>
        </w:numPr>
        <w:shd w:val="clear" w:color="auto" w:fill="auto"/>
        <w:tabs>
          <w:tab w:pos="115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доводу жалобы заявителя, заказчик, без учета данных правовых позиций неправомерно объединил в «комплекс» и разместил под одним кодом закупку различных типов оборудования, которые произвольно включены Заказчиком в единый комплекс, и фактически являются самостоятельными товарными единицами, имеющими свой код КТРУ. Заказчиком в документации закупки установлены дополнительные потребительские свойства товаров, не предусмотренные КТРУ. Установление данных потребительских свойств противоречит законодательству о закупках, неразумно, не обосновано, ведет к ограничению конкуренции.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представленным пояснениям заказчика, КТРУ к закупке не применялось, соответственно, дополнительные потребительские свойства товаров, не предусмотренные КТРУ не устанавливались. Заказчик вправе включить в извещение такие характеристики и требования к товарам, которые отвечают его </w:t>
      </w:r>
      <w:r>
        <w:rPr>
          <w:color w:val="000000"/>
          <w:spacing w:val="0"/>
          <w:w w:val="100"/>
          <w:position w:val="0"/>
          <w:shd w:val="clear" w:color="auto" w:fill="auto"/>
          <w:lang w:val="ru-RU" w:eastAsia="ru-RU" w:bidi="ru-RU"/>
        </w:rPr>
        <w:t>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 уточнил, что в связи с тем, что отсутствует соответствующая предмету закупки позиция КТРУ и Заказчик указал код такого товара согласно Общероссийскому классификатору продукции по видам экономической деятельности ОКПД2, пункт 5 Правил использования КТРУ не применяется.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тем, что довод жалобы о том, что заказчик не применил информацию, включенную в позицию каталога товаров, работ, услуг, не нашел своего подтверждения, то и довод жалобы об объединении товаров в комплекс и указании заказчиком дополнительных характеристик, непредусмотренных позицией КТРУ, не может найти своего подтверждения.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Следовательно, довод жалобы заявителя признан необоснованным.</w:t>
      </w:r>
    </w:p>
    <w:p>
      <w:pPr>
        <w:pStyle w:val="Style15"/>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3. Относительно довода заявителя об указании неизмеримых, необоснованных и неразумных требований к товарам, входящим в объект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1 части 2 статьи 42 Закона о контрактной системе закреплено, что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в силу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доводу жалобы заявителя, требования ст. 33 №44-ФЗ нарушены Заказчиком в части требования о наличии сертификата совместимости с ПО СУ О «ДАМАСК - §оуеттеп1» версия 5.5, в части характеристик товара, существенно отклоняющихся от установленных ГОСТ, ПУЭ и в части установления требований об удобстве открытия оборудования, отсутствия острых граней, утяжеления основания, дальности видимости текста и пр.</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Как пояснил заказчик, наличие ключа СТАР-СТОП для запуска и перезагрузки терминала обеспечивает восстановление работоспособности регистратора, не создавая неудобства посетителям клиентской службы. Стандарт клиентской службы предполагает несколько цветов, указание конкретного цвета приведет к ограничению круга участников закупки. Кроме того, в соответствии с Постановлением АС Центрального округа от 27.08.2024 по делу № А36-9078/2023 Суд подтвердил, что цвет и фактуру товара можно согласовать после заключения контракта. Время отклика &gt; 8 мс является для заказчика оптимальным и не влияет на помехоустойчивость. Выбор инфракрасной рамки, сделанный после изучения преимуществ и недостатков существующих технологий, также является оптимальным вариантом для заказчика, т.к. не приводит к удорожанию объекта закупки. Наличие 3-х диодов для подсветки, является достаточным для обеспечения пользования клиентами.</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Также в отношении установленного требования к интерфейсу, табло рабочего места: К8-485 заказчик пояснил, что отличительной особенностью данного интерфейса является многоточечная связь. К8-485 позволяет подключить к одному кабелю до 256 устройств, что делает его идеальным для создания распределительных систем, обладает высокой устойчивостью к электромагнитным помехам.</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Как пояснил заказчик, указание на совместимость с программным обеспечением СУ О «ДАМАСК-§оуегптепЬ&gt; версия 5.5 обусловлена тем, что в настоящее время центральный аппарат СФР планирует создание общефедеральной системы мониторинга качества обслуживания клиентов СФР. Данное решение предполагается построить с использованием СУ О «Дамаск» - как наиболее распространенным в системе СФР (в территориальных органах заказчика успешно эксплуатируются АСУ О и ПАК для компонента «Регистрация и распределение потоков потребителей услуг ПФР» подсистемы «Инфраструктурное обеспечение (ПИО)» АИС ПФР-2, функционирующих на ПО «ДАМАСК» (зарегистрировано в Едином реестре российских программ для электронных вычислительных машин и баз данных под номером 521), в Республике Татарстан данные программно</w:t>
        <w:softHyphen/>
        <w:t>аппаратные комплексы используется в 28 районах Республики Татарстан.</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ходе рассмотрения Комиссия Татарстанского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Правила описания объекта закупки определены статьей 33 Закона о контрактной системе. Частью 2 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w:t>
      </w:r>
      <w:r>
        <w:rPr>
          <w:color w:val="000000"/>
          <w:spacing w:val="0"/>
          <w:w w:val="100"/>
          <w:position w:val="0"/>
          <w:shd w:val="clear" w:color="auto" w:fill="auto"/>
          <w:lang w:val="ru-RU" w:eastAsia="ru-RU" w:bidi="ru-RU"/>
        </w:rPr>
        <w:t>которые им необходимы, соответствует их потребности, а с другой стороны необоснованно не ограничить количество участников.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Татарстанского УФАС России отмечает, что Законом о контрактной системе не предусмотрено ограничений по включению в извещение требований к товару, являющихся значимыми для заказчика. При этом, указанные в ст. 33 Закона № 44-ФЗ, правила описания объекта закупки не предусматривают обоснования значимости для заказчика каждой характеристики товара. Кроме того, в соответствии с 44-ФЗ, Заказчик имеет право детализировать требования к товару в необходимой для него степени.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Законодательством РФ не предусмотрены требования о наличии у Поставщика оборудования сертификата совместимости с ПО СУ О «ДАМАСК - §оуетшеЩ».</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Татарстанского УФАС России отмечает, что указанное требование ставит Поставщика в зависимость от неопределенных условий поставки и волеизъявления третьих лиц, что может повлиять на возможность исполнения обязательств по контракту надлежащим образом.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Заказчик допустил нарушение части 3 статьи 33, пункта 1 части 2 статьи 42 Закона № 44-ФЗ, т. к. извещение о проведении закупки содержит описание объекта закупки не в соответствии с требованиями Закона № 44-ФЗ и влечет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довод заявителя в указанной части является обоснованным.</w:t>
      </w:r>
    </w:p>
    <w:p>
      <w:pPr>
        <w:pStyle w:val="Style15"/>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Ы 44-ФЗ «О контрактной системе в сфере закупок товаров, работ, услуг для обеспечения государственных и муниципальных нужд», Комиссия</w:t>
      </w:r>
    </w:p>
    <w:p>
      <w:pPr>
        <w:pStyle w:val="Style15"/>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15"/>
        <w:keepNext w:val="0"/>
        <w:keepLines w:val="0"/>
        <w:widowControl w:val="0"/>
        <w:numPr>
          <w:ilvl w:val="0"/>
          <w:numId w:val="7"/>
        </w:numPr>
        <w:shd w:val="clear" w:color="auto" w:fill="auto"/>
        <w:tabs>
          <w:tab w:pos="14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заявителя АО «АйТим Технолоджис» (вх. №10435 от 27.09.2024г., ЕИС от 26.09.2024г.) на действия заказчика - ОСФР ПО РЕСПУБЛИКЕ ТАТАРСТАН при проведении закупки №0211100000224000305 на предмет: «Поставка программно-аппаратных комплексов «Автоматизированная система управления очередью» (ПАК АСУО) (закупка для ИКТ) с установкой», частично обоснованной.</w:t>
      </w:r>
    </w:p>
    <w:p>
      <w:pPr>
        <w:pStyle w:val="Style15"/>
        <w:keepNext w:val="0"/>
        <w:keepLines w:val="0"/>
        <w:widowControl w:val="0"/>
        <w:numPr>
          <w:ilvl w:val="0"/>
          <w:numId w:val="7"/>
        </w:numPr>
        <w:shd w:val="clear" w:color="auto" w:fill="auto"/>
        <w:tabs>
          <w:tab w:pos="14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ОСФР ПО РЕСПУБЛИКЕ ТАТАРСТАН нарушение требований части 3 статьи 33, пункта 1 части 2 статьи 42 Федерального закона "О контрактной системе в сфере закупок товаров, работ, услуг для обеспечения государственных и муниципальных нужд" от 05.04.2013 № 44-ФЗ.</w:t>
      </w:r>
    </w:p>
    <w:p>
      <w:pPr>
        <w:pStyle w:val="Style15"/>
        <w:keepNext w:val="0"/>
        <w:keepLines w:val="0"/>
        <w:widowControl w:val="0"/>
        <w:numPr>
          <w:ilvl w:val="0"/>
          <w:numId w:val="7"/>
        </w:numPr>
        <w:shd w:val="clear" w:color="auto" w:fill="auto"/>
        <w:tabs>
          <w:tab w:pos="14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ОСФР ПО РЕСПУБЛИКЕ ТАТАРСТАН, Оператору ЭТП предписание об устранении выявленных нарушений.</w:t>
      </w:r>
    </w:p>
    <w:p>
      <w:pPr>
        <w:pStyle w:val="Style15"/>
        <w:keepNext w:val="0"/>
        <w:keepLines w:val="0"/>
        <w:widowControl w:val="0"/>
        <w:numPr>
          <w:ilvl w:val="0"/>
          <w:numId w:val="7"/>
        </w:numPr>
        <w:shd w:val="clear" w:color="auto" w:fill="auto"/>
        <w:tabs>
          <w:tab w:pos="143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w:t>
      </w:r>
      <w:r>
        <w:br w:type="page"/>
      </w:r>
    </w:p>
    <w:p>
      <w:pPr>
        <w:pStyle w:val="Style15"/>
        <w:keepNext w:val="0"/>
        <w:keepLines w:val="0"/>
        <w:widowControl w:val="0"/>
        <w:shd w:val="clear" w:color="auto" w:fill="auto"/>
        <w:bidi w:val="0"/>
        <w:spacing w:before="0" w:after="640" w:line="240" w:lineRule="auto"/>
        <w:ind w:left="0" w:right="0" w:firstLine="0"/>
        <w:jc w:val="left"/>
      </w:pPr>
      <w:r>
        <w:rPr>
          <w:color w:val="000000"/>
          <w:spacing w:val="0"/>
          <w:w w:val="100"/>
          <w:position w:val="0"/>
          <w:shd w:val="clear" w:color="auto" w:fill="auto"/>
          <w:lang w:val="ru-RU" w:eastAsia="ru-RU" w:bidi="ru-RU"/>
        </w:rPr>
        <w:t>Российской Федерации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w:t>
      </w:r>
    </w:p>
    <w:p>
      <w:pPr>
        <w:pStyle w:val="Style15"/>
        <w:keepNext w:val="0"/>
        <w:keepLines w:val="0"/>
        <w:widowControl w:val="0"/>
        <w:shd w:val="clear" w:color="auto" w:fill="auto"/>
        <w:bidi w:val="0"/>
        <w:spacing w:before="0" w:after="640" w:line="240" w:lineRule="auto"/>
        <w:ind w:left="0" w:right="0" w:firstLine="0"/>
        <w:jc w:val="left"/>
      </w:pPr>
      <w:r>
        <w:drawing>
          <wp:anchor distT="0" distB="0" distL="114300" distR="1208405" simplePos="0" relativeHeight="125829379" behindDoc="0" locked="0" layoutInCell="1" allowOverlap="1">
            <wp:simplePos x="0" y="0"/>
            <wp:positionH relativeFrom="page">
              <wp:posOffset>3557905</wp:posOffset>
            </wp:positionH>
            <wp:positionV relativeFrom="paragraph">
              <wp:posOffset>203200</wp:posOffset>
            </wp:positionV>
            <wp:extent cx="2389505" cy="2706370"/>
            <wp:wrapSquare wrapText="lef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2389505" cy="27063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6035675</wp:posOffset>
                </wp:positionH>
                <wp:positionV relativeFrom="paragraph">
                  <wp:posOffset>621030</wp:posOffset>
                </wp:positionV>
                <wp:extent cx="999490" cy="219710"/>
                <wp:wrapNone/>
                <wp:docPr id="7" name="Shape 7"/>
                <a:graphic xmlns:a="http://schemas.openxmlformats.org/drawingml/2006/main">
                  <a:graphicData uri="http://schemas.microsoft.com/office/word/2010/wordprocessingShape">
                    <wps:wsp>
                      <wps:cNvSpPr txBox="1"/>
                      <wps:spPr>
                        <a:xfrm>
                          <a:ext cx="99949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Яфизов</w:t>
                            </w:r>
                          </w:p>
                        </w:txbxContent>
                      </wps:txbx>
                      <wps:bodyPr lIns="0" tIns="0" rIns="0" bIns="0">
                        <a:noAutoFit/>
                      </wps:bodyPr>
                    </wps:wsp>
                  </a:graphicData>
                </a:graphic>
              </wp:anchor>
            </w:drawing>
          </mc:Choice>
          <mc:Fallback>
            <w:pict>
              <v:shape id="_x0000_s1033" type="#_x0000_t202" style="position:absolute;margin-left:475.25pt;margin-top:48.899999999999999pt;width:78.700000000000003pt;height:17.3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Яфизов</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5944235</wp:posOffset>
                </wp:positionH>
                <wp:positionV relativeFrom="paragraph">
                  <wp:posOffset>1029335</wp:posOffset>
                </wp:positionV>
                <wp:extent cx="1045210" cy="219710"/>
                <wp:wrapNone/>
                <wp:docPr id="9" name="Shape 9"/>
                <a:graphic xmlns:a="http://schemas.openxmlformats.org/drawingml/2006/main">
                  <a:graphicData uri="http://schemas.microsoft.com/office/word/2010/wordprocessingShape">
                    <wps:wsp>
                      <wps:cNvSpPr txBox="1"/>
                      <wps:spPr>
                        <a:xfrm>
                          <a:ext cx="1045210" cy="2197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wps:txbx>
                      <wps:bodyPr lIns="0" tIns="0" rIns="0" bIns="0">
                        <a:noAutoFit/>
                      </wps:bodyPr>
                    </wps:wsp>
                  </a:graphicData>
                </a:graphic>
              </wp:anchor>
            </w:drawing>
          </mc:Choice>
          <mc:Fallback>
            <w:pict>
              <v:shape id="_x0000_s1035" type="#_x0000_t202" style="position:absolute;margin-left:468.05000000000001pt;margin-top:81.049999999999997pt;width:82.299999999999997pt;height:17.300000000000001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5898515</wp:posOffset>
                </wp:positionH>
                <wp:positionV relativeFrom="paragraph">
                  <wp:posOffset>1440815</wp:posOffset>
                </wp:positionV>
                <wp:extent cx="1139825" cy="216535"/>
                <wp:wrapNone/>
                <wp:docPr id="11" name="Shape 11"/>
                <a:graphic xmlns:a="http://schemas.openxmlformats.org/drawingml/2006/main">
                  <a:graphicData uri="http://schemas.microsoft.com/office/word/2010/wordprocessingShape">
                    <wps:wsp>
                      <wps:cNvSpPr txBox="1"/>
                      <wps:spPr>
                        <a:xfrm>
                          <a:ext cx="1139825"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37" type="#_x0000_t202" style="position:absolute;margin-left:464.44999999999999pt;margin-top:113.45pt;width:89.75pt;height:17.050000000000001pt;z-index:251657733;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И.Г. Никитина</w:t>
                      </w:r>
                    </w:p>
                  </w:txbxContent>
                </v:textbox>
                <w10:wrap anchorx="page"/>
              </v:shape>
            </w:pict>
          </mc:Fallback>
        </mc:AlternateContent>
      </w:r>
      <w:r>
        <w:rPr>
          <w:color w:val="000000"/>
          <w:spacing w:val="0"/>
          <w:w w:val="100"/>
          <w:position w:val="0"/>
          <w:shd w:val="clear" w:color="auto" w:fill="auto"/>
          <w:lang w:val="ru-RU" w:eastAsia="ru-RU" w:bidi="ru-RU"/>
        </w:rPr>
        <w:t>месяцев со дня его принятия.</w:t>
      </w:r>
    </w:p>
    <w:p>
      <w:pPr>
        <w:pStyle w:val="Style15"/>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105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z w:val="24"/>
          <w:szCs w:val="24"/>
          <w:shd w:val="clear" w:color="auto" w:fill="auto"/>
          <w:lang w:val="ru-RU" w:eastAsia="ru-RU" w:bidi="ru-RU"/>
        </w:rPr>
        <w:t>Исп.: Никитина И.Г.</w:t>
      </w:r>
    </w:p>
    <w:p>
      <w:pPr>
        <w:pStyle w:val="Style2"/>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z w:val="24"/>
          <w:szCs w:val="24"/>
          <w:shd w:val="clear" w:color="auto" w:fill="auto"/>
          <w:lang w:val="ru-RU" w:eastAsia="ru-RU" w:bidi="ru-RU"/>
        </w:rPr>
        <w:t>Тел. 8(843)293-10-91</w:t>
      </w:r>
    </w:p>
    <w:sectPr>
      <w:footnotePr>
        <w:pos w:val="pageBottom"/>
        <w:numFmt w:val="decimal"/>
        <w:numRestart w:val="continuous"/>
      </w:footnotePr>
      <w:type w:val="continuous"/>
      <w:pgSz w:w="11900" w:h="16840"/>
      <w:pgMar w:top="1023" w:right="602" w:bottom="1183" w:left="978"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3841115</wp:posOffset>
              </wp:positionH>
              <wp:positionV relativeFrom="page">
                <wp:posOffset>417830</wp:posOffset>
              </wp:positionV>
              <wp:extent cx="128270" cy="109855"/>
              <wp:wrapNone/>
              <wp:docPr id="3" name="Shape 3"/>
              <a:graphic xmlns:a="http://schemas.openxmlformats.org/drawingml/2006/main">
                <a:graphicData uri="http://schemas.microsoft.com/office/word/2010/wordprocessingShape">
                  <wps:wsp>
                    <wps:cNvSpPr txBox="1"/>
                    <wps:spPr>
                      <a:xfrm>
                        <a:ext cx="128270" cy="10985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2.44999999999999pt;margin-top:32.899999999999999pt;width:10.1pt;height:8.6500000000000004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6B91CA"/>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4A6392"/>
      <w:sz w:val="15"/>
      <w:szCs w:val="15"/>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6B91CA"/>
      <w:u w:val="none"/>
    </w:rPr>
  </w:style>
  <w:style w:type="paragraph" w:customStyle="1" w:styleId="Style4">
    <w:name w:val="Основной текст (3)"/>
    <w:basedOn w:val="Normal"/>
    <w:link w:val="CharStyle5"/>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color w:val="4A6392"/>
      <w:sz w:val="15"/>
      <w:szCs w:val="15"/>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