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24510"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24510" cy="615950"/>
                    </a:xfrm>
                    <a:prstGeom prst="rect"/>
                  </pic:spPr>
                </pic:pic>
              </a:graphicData>
            </a:graphic>
          </wp:inline>
        </w:drawing>
      </w:r>
    </w:p>
    <w:p>
      <w:pPr>
        <w:pStyle w:val="Style5"/>
        <w:keepNext w:val="0"/>
        <w:keepLines w:val="0"/>
        <w:widowControl w:val="0"/>
        <w:shd w:val="clear" w:color="auto" w:fill="auto"/>
        <w:bidi w:val="0"/>
        <w:spacing w:before="0" w:line="259" w:lineRule="auto"/>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pPr>
      <w:r>
        <w:rPr>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line="254" w:lineRule="auto"/>
        <w:ind w:left="0" w:right="0" w:firstLine="0"/>
        <w:jc w:val="center"/>
      </w:pPr>
      <w:r>
        <w:rPr>
          <w:spacing w:val="0"/>
          <w:w w:val="100"/>
          <w:position w:val="0"/>
          <w:shd w:val="clear" w:color="auto" w:fill="auto"/>
          <w:lang w:val="ru-RU" w:eastAsia="ru-RU" w:bidi="ru-RU"/>
        </w:rPr>
        <w:t>Федеральной антимонопольной службы</w:t>
        <w:br/>
        <w:t>по Воронежской области</w:t>
      </w:r>
    </w:p>
    <w:p>
      <w:pPr>
        <w:pStyle w:val="Style5"/>
        <w:keepNext w:val="0"/>
        <w:keepLines w:val="0"/>
        <w:widowControl w:val="0"/>
        <w:shd w:val="clear" w:color="auto" w:fill="auto"/>
        <w:bidi w:val="0"/>
        <w:spacing w:before="0" w:after="0"/>
        <w:ind w:left="0" w:right="0" w:firstLine="380"/>
        <w:jc w:val="both"/>
      </w:pPr>
      <w:r>
        <w:rPr>
          <w:b w:val="0"/>
          <w:bCs w:val="0"/>
          <w:spacing w:val="0"/>
          <w:w w:val="100"/>
          <w:position w:val="0"/>
          <w:shd w:val="clear" w:color="auto" w:fill="auto"/>
          <w:lang w:val="ru-RU" w:eastAsia="ru-RU" w:bidi="ru-RU"/>
        </w:rPr>
        <w:t>пр-кт Революции, 21, г. Воронеж, 394036</w:t>
      </w:r>
    </w:p>
    <w:p>
      <w:pPr>
        <w:pStyle w:val="Style5"/>
        <w:keepNext w:val="0"/>
        <w:keepLines w:val="0"/>
        <w:widowControl w:val="0"/>
        <w:shd w:val="clear" w:color="auto" w:fill="auto"/>
        <w:bidi w:val="0"/>
        <w:spacing w:before="0" w:after="0"/>
        <w:ind w:left="0" w:right="0" w:firstLine="0"/>
        <w:jc w:val="center"/>
      </w:pPr>
      <w:r>
        <w:rPr>
          <w:b w:val="0"/>
          <w:bCs w:val="0"/>
          <w:spacing w:val="0"/>
          <w:w w:val="100"/>
          <w:position w:val="0"/>
          <w:shd w:val="clear" w:color="auto" w:fill="auto"/>
          <w:lang w:val="ru-RU" w:eastAsia="ru-RU" w:bidi="ru-RU"/>
        </w:rPr>
        <w:t>тел./факс+7 (473) 255-92-44</w:t>
      </w:r>
    </w:p>
    <w:p>
      <w:pPr>
        <w:pStyle w:val="Style5"/>
        <w:keepNext w:val="0"/>
        <w:keepLines w:val="0"/>
        <w:widowControl w:val="0"/>
        <w:shd w:val="clear" w:color="auto" w:fill="auto"/>
        <w:bidi w:val="0"/>
        <w:spacing w:before="0" w:after="260"/>
        <w:ind w:left="0" w:right="0" w:firstLine="0"/>
        <w:jc w:val="center"/>
      </w:pPr>
      <w:r>
        <w:rPr>
          <w:b w:val="0"/>
          <w:bCs w:val="0"/>
          <w:spacing w:val="0"/>
          <w:w w:val="100"/>
          <w:position w:val="0"/>
          <w:u w:val="single"/>
          <w:shd w:val="clear" w:color="auto" w:fill="auto"/>
          <w:lang w:val="ru-RU" w:eastAsia="ru-RU" w:bidi="ru-RU"/>
        </w:rPr>
        <w:t>е-таП: 1о36@Га8.е;оу.ги</w:t>
      </w:r>
    </w:p>
    <w:p>
      <w:pPr>
        <w:pStyle w:val="Style9"/>
        <w:keepNext/>
        <w:keepLines/>
        <w:widowControl w:val="0"/>
        <w:shd w:val="clear" w:color="auto" w:fill="auto"/>
        <w:tabs>
          <w:tab w:pos="1843" w:val="left"/>
        </w:tabs>
        <w:bidi w:val="0"/>
        <w:spacing w:before="0" w:line="240" w:lineRule="auto"/>
        <w:ind w:left="0" w:right="0" w:firstLine="0"/>
        <w:jc w:val="both"/>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8.10.2024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ЮР/7300/2</w:t>
      </w:r>
      <w:r>
        <w:rPr>
          <w:color w:val="000000"/>
          <w:spacing w:val="0"/>
          <w:w w:val="100"/>
          <w:position w:val="0"/>
          <w:u w:val="none"/>
          <w:shd w:val="clear" w:color="auto" w:fill="auto"/>
          <w:lang w:val="ru-RU" w:eastAsia="ru-RU" w:bidi="ru-RU"/>
        </w:rPr>
        <w:t>4</w:t>
      </w:r>
      <w:bookmarkEnd w:id="0"/>
    </w:p>
    <w:p>
      <w:pPr>
        <w:pStyle w:val="Style5"/>
        <w:keepNext w:val="0"/>
        <w:keepLines w:val="0"/>
        <w:widowControl w:val="0"/>
        <w:shd w:val="clear" w:color="auto" w:fill="auto"/>
        <w:bidi w:val="0"/>
        <w:spacing w:before="0" w:after="620"/>
        <w:ind w:left="0" w:right="0" w:firstLine="0"/>
        <w:jc w:val="both"/>
      </w:pPr>
      <w:r>
        <w:rPr>
          <w:b w:val="0"/>
          <w:bCs w:val="0"/>
          <w:spacing w:val="0"/>
          <w:w w:val="100"/>
          <w:position w:val="0"/>
          <w:shd w:val="clear" w:color="auto" w:fill="auto"/>
          <w:lang w:val="ru-RU" w:eastAsia="ru-RU" w:bidi="ru-RU"/>
        </w:rPr>
        <w:t xml:space="preserve">На№  от</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 № 036/06/106-1440/2024</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Администрация городского поселения - город Богучар Богучарского муниципального района Воронежской области</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396790, обл. Воронежская, г. Богучар, ул. Карла Маркса, 2</w:t>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Ьод11с11а14х)д11с11@до\лт11.п1</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ОБЩЕСТВО С ОГРАНИЧЕННОЙ ОТВЕТСТВЕННОСТЬЮ "БРОКЕР ГРУПП"</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614042, Пермский край, Г. ПЕРМЬ, УЛ.</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ПЕНЗЕНСКАЯ, Д. 57, КВ. 2</w:t>
      </w:r>
    </w:p>
    <w:p>
      <w:pPr>
        <w:pStyle w:val="Style14"/>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84" w:right="642" w:bottom="1222" w:left="1140" w:header="0" w:footer="3" w:gutter="0"/>
          <w:pgNumType w:start="1"/>
          <w:cols w:num="2" w:space="720" w:equalWidth="0">
            <w:col w:w="4267" w:space="998"/>
            <w:col w:w="4853"/>
          </w:cols>
          <w:noEndnote/>
          <w:titlePg/>
          <w:rtlGutter w:val="0"/>
          <w:docGrid w:linePitch="360"/>
        </w:sectPr>
      </w:pPr>
      <w:r>
        <w:rPr>
          <w:color w:val="000000"/>
          <w:spacing w:val="0"/>
          <w:w w:val="100"/>
          <w:position w:val="0"/>
          <w:shd w:val="clear" w:color="auto" w:fill="auto"/>
          <w:lang w:val="ru-RU" w:eastAsia="ru-RU" w:bidi="ru-RU"/>
        </w:rPr>
        <w:t>оооЛепдег.Ъгокег77@дтай .сот</w:t>
      </w:r>
    </w:p>
    <w:p>
      <w:pPr>
        <w:widowControl w:val="0"/>
        <w:spacing w:line="240" w:lineRule="exact"/>
        <w:rPr>
          <w:sz w:val="19"/>
          <w:szCs w:val="19"/>
        </w:rPr>
      </w:pPr>
    </w:p>
    <w:p>
      <w:pPr>
        <w:widowControl w:val="0"/>
        <w:spacing w:line="240" w:lineRule="exact"/>
        <w:rPr>
          <w:sz w:val="19"/>
          <w:szCs w:val="19"/>
        </w:rPr>
      </w:pPr>
    </w:p>
    <w:p>
      <w:pPr>
        <w:widowControl w:val="0"/>
        <w:spacing w:before="59" w:after="5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35" w:right="0" w:bottom="1171" w:left="0" w:header="0" w:footer="3" w:gutter="0"/>
          <w:cols w:space="720"/>
          <w:noEndnote/>
          <w:rtlGutter w:val="0"/>
          <w:docGrid w:linePitch="360"/>
        </w:sectPr>
      </w:pPr>
    </w:p>
    <w:p>
      <w:pPr>
        <w:pStyle w:val="Style14"/>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Р Е Ш Е Н И Е</w:t>
      </w:r>
    </w:p>
    <w:p>
      <w:pPr>
        <w:pStyle w:val="Style14"/>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по результатам рассмотрения жалобы ООО «БРОКЕР ГРУПП» на действия</w:t>
        <w:br/>
        <w:t>администрации городского поселения - город Богучар Воронежской области при</w:t>
        <w:br/>
        <w:t>проведении открытого конкурса в электронной форме на выполнение работ по</w:t>
        <w:br/>
        <w:t>обустройству ливневой канализации по ул. Пригородная, ул. Северная, ул.</w:t>
      </w:r>
    </w:p>
    <w:p>
      <w:pPr>
        <w:pStyle w:val="Style14"/>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Масловского в г. Богучар (1 этап)</w:t>
      </w:r>
    </w:p>
    <w:p>
      <w:pPr>
        <w:pStyle w:val="Style14"/>
        <w:keepNext w:val="0"/>
        <w:keepLines w:val="0"/>
        <w:widowControl w:val="0"/>
        <w:shd w:val="clear" w:color="auto" w:fill="auto"/>
        <w:bidi w:val="0"/>
        <w:spacing w:before="0" w:after="440"/>
        <w:ind w:left="0" w:right="0" w:firstLine="0"/>
        <w:jc w:val="center"/>
      </w:pPr>
      <w:r>
        <w:rPr>
          <w:color w:val="000000"/>
          <w:spacing w:val="0"/>
          <w:w w:val="100"/>
          <w:position w:val="0"/>
          <w:shd w:val="clear" w:color="auto" w:fill="auto"/>
          <w:lang w:val="ru-RU" w:eastAsia="ru-RU" w:bidi="ru-RU"/>
        </w:rPr>
        <w:t>(номер извещения № 0131300032324000016)</w:t>
        <w:br/>
        <w:t>(дело № 036/06/106-1440/2024)</w:t>
      </w:r>
    </w:p>
    <w:p>
      <w:pPr>
        <w:pStyle w:val="Style14"/>
        <w:keepNext w:val="0"/>
        <w:keepLines w:val="0"/>
        <w:widowControl w:val="0"/>
        <w:shd w:val="clear" w:color="auto" w:fill="auto"/>
        <w:tabs>
          <w:tab w:pos="8894" w:val="left"/>
        </w:tabs>
        <w:bidi w:val="0"/>
        <w:spacing w:before="0" w:after="920"/>
        <w:ind w:left="0" w:right="0" w:firstLine="0"/>
        <w:jc w:val="left"/>
      </w:pPr>
      <w:r>
        <w:rPr>
          <w:color w:val="000000"/>
          <w:spacing w:val="0"/>
          <w:w w:val="100"/>
          <w:position w:val="0"/>
          <w:shd w:val="clear" w:color="auto" w:fill="auto"/>
          <w:lang w:val="ru-RU" w:eastAsia="ru-RU" w:bidi="ru-RU"/>
        </w:rPr>
        <w:t>03.10.2024 г.</w:t>
        <w:tab/>
        <w:t>г. Воронеж</w:t>
      </w:r>
    </w:p>
    <w:p>
      <w:pPr>
        <w:pStyle w:val="Style14"/>
        <w:keepNext w:val="0"/>
        <w:keepLines w:val="0"/>
        <w:widowControl w:val="0"/>
        <w:shd w:val="clear" w:color="auto" w:fill="auto"/>
        <w:bidi w:val="0"/>
        <w:spacing w:before="0" w:after="0"/>
        <w:ind w:left="1360" w:right="0" w:firstLine="0"/>
        <w:jc w:val="left"/>
      </w:pPr>
      <w:r>
        <w:rPr>
          <w:color w:val="000000"/>
          <w:spacing w:val="0"/>
          <w:w w:val="100"/>
          <w:position w:val="0"/>
          <w:shd w:val="clear" w:color="auto" w:fill="auto"/>
          <w:lang w:val="ru-RU" w:eastAsia="ru-RU" w:bidi="ru-RU"/>
        </w:rPr>
        <w:t>Резолютивная часть настоящего решения объявлена 03.10.2024 года.</w:t>
      </w:r>
    </w:p>
    <w:p>
      <w:pPr>
        <w:pStyle w:val="Style14"/>
        <w:keepNext w:val="0"/>
        <w:keepLines w:val="0"/>
        <w:widowControl w:val="0"/>
        <w:shd w:val="clear" w:color="auto" w:fill="auto"/>
        <w:bidi w:val="0"/>
        <w:spacing w:before="0" w:after="440"/>
        <w:ind w:left="2160" w:right="0" w:firstLine="0"/>
        <w:jc w:val="left"/>
      </w:pPr>
      <w:r>
        <w:rPr>
          <w:color w:val="000000"/>
          <w:spacing w:val="0"/>
          <w:w w:val="100"/>
          <w:position w:val="0"/>
          <w:shd w:val="clear" w:color="auto" w:fill="auto"/>
          <w:lang w:val="ru-RU" w:eastAsia="ru-RU" w:bidi="ru-RU"/>
        </w:rPr>
        <w:t>В полном объеме решение изготовлено 08.10.2024 года.</w:t>
      </w:r>
    </w:p>
    <w:p>
      <w:pPr>
        <w:pStyle w:val="Style14"/>
        <w:keepNext w:val="0"/>
        <w:keepLines w:val="0"/>
        <w:widowControl w:val="0"/>
        <w:shd w:val="clear" w:color="auto" w:fill="auto"/>
        <w:bidi w:val="0"/>
        <w:spacing w:before="0" w:after="340"/>
        <w:ind w:left="0" w:right="0" w:firstLine="620"/>
        <w:jc w:val="left"/>
      </w:pPr>
      <w:r>
        <w:rPr>
          <w:color w:val="000000"/>
          <w:spacing w:val="0"/>
          <w:w w:val="100"/>
          <w:position w:val="0"/>
          <w:shd w:val="clear" w:color="auto" w:fill="auto"/>
          <w:lang w:val="ru-RU" w:eastAsia="ru-RU" w:bidi="ru-RU"/>
        </w:rPr>
        <w:t>Комиссия Управления Федеральной антимонопольной службы по</w:t>
      </w:r>
    </w:p>
    <w:p>
      <w:pPr>
        <w:pStyle w:val="Style19"/>
        <w:keepNext/>
        <w:keepLines/>
        <w:widowControl w:val="0"/>
        <w:shd w:val="clear" w:color="auto" w:fill="auto"/>
        <w:bidi w:val="0"/>
        <w:spacing w:before="0" w:line="240" w:lineRule="auto"/>
        <w:ind w:left="0" w:right="0" w:firstLine="0"/>
        <w:jc w:val="left"/>
      </w:pPr>
      <w:bookmarkStart w:id="2" w:name="bookmark2"/>
      <w:r>
        <w:rPr>
          <w:color w:val="000000"/>
          <w:spacing w:val="0"/>
          <w:position w:val="0"/>
          <w:shd w:val="clear" w:color="auto" w:fill="auto"/>
          <w:lang w:val="ru-RU" w:eastAsia="ru-RU" w:bidi="ru-RU"/>
        </w:rPr>
        <w:t>1111110111111111111111</w:t>
      </w:r>
      <w:bookmarkEnd w:id="2"/>
    </w:p>
    <w:p>
      <w:pPr>
        <w:pStyle w:val="Style14"/>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Воронежской области по контролю в сфере закупок (далее - Комиссия) в составе:</w:t>
      </w:r>
    </w:p>
    <w:p>
      <w:pPr>
        <w:pStyle w:val="Style14"/>
        <w:keepNext w:val="0"/>
        <w:keepLines w:val="0"/>
        <w:widowControl w:val="0"/>
        <w:numPr>
          <w:ilvl w:val="0"/>
          <w:numId w:val="1"/>
        </w:numPr>
        <w:shd w:val="clear" w:color="auto" w:fill="auto"/>
        <w:tabs>
          <w:tab w:pos="975" w:val="left"/>
        </w:tabs>
        <w:bidi w:val="0"/>
        <w:spacing w:before="0" w:after="0"/>
        <w:ind w:left="0" w:right="0" w:firstLine="720"/>
        <w:jc w:val="both"/>
      </w:pPr>
      <w:r>
        <w:rPr>
          <w:color w:val="000000"/>
          <w:spacing w:val="0"/>
          <w:w w:val="100"/>
          <w:position w:val="0"/>
          <w:shd w:val="clear" w:color="auto" w:fill="auto"/>
          <w:lang w:val="ru-RU" w:eastAsia="ru-RU" w:bidi="ru-RU"/>
        </w:rPr>
        <w:t>Рощупкина Ю.В. - председатель Комиссии, заместитель начальника отдела контроля закупок;</w:t>
      </w:r>
    </w:p>
    <w:p>
      <w:pPr>
        <w:pStyle w:val="Style14"/>
        <w:keepNext w:val="0"/>
        <w:keepLines w:val="0"/>
        <w:widowControl w:val="0"/>
        <w:numPr>
          <w:ilvl w:val="0"/>
          <w:numId w:val="1"/>
        </w:numPr>
        <w:shd w:val="clear" w:color="auto" w:fill="auto"/>
        <w:tabs>
          <w:tab w:pos="975" w:val="left"/>
        </w:tabs>
        <w:bidi w:val="0"/>
        <w:spacing w:before="0" w:after="0"/>
        <w:ind w:left="0" w:right="0" w:firstLine="720"/>
        <w:jc w:val="both"/>
      </w:pPr>
      <w:r>
        <w:rPr>
          <w:color w:val="000000"/>
          <w:spacing w:val="0"/>
          <w:w w:val="100"/>
          <w:position w:val="0"/>
          <w:shd w:val="clear" w:color="auto" w:fill="auto"/>
          <w:lang w:val="ru-RU" w:eastAsia="ru-RU" w:bidi="ru-RU"/>
        </w:rPr>
        <w:t>Коростылева Е.В. - член Комиссии, специалист 1 разряда отдела контроля закупок;</w:t>
      </w:r>
    </w:p>
    <w:p>
      <w:pPr>
        <w:pStyle w:val="Style14"/>
        <w:keepNext w:val="0"/>
        <w:keepLines w:val="0"/>
        <w:widowControl w:val="0"/>
        <w:numPr>
          <w:ilvl w:val="0"/>
          <w:numId w:val="1"/>
        </w:numPr>
        <w:shd w:val="clear" w:color="auto" w:fill="auto"/>
        <w:tabs>
          <w:tab w:pos="975" w:val="left"/>
        </w:tabs>
        <w:bidi w:val="0"/>
        <w:spacing w:before="0" w:after="0"/>
        <w:ind w:left="0" w:right="0" w:firstLine="720"/>
        <w:jc w:val="both"/>
      </w:pPr>
      <w:r>
        <w:rPr>
          <w:color w:val="000000"/>
          <w:spacing w:val="0"/>
          <w:w w:val="100"/>
          <w:position w:val="0"/>
          <w:shd w:val="clear" w:color="auto" w:fill="auto"/>
          <w:lang w:val="ru-RU" w:eastAsia="ru-RU" w:bidi="ru-RU"/>
        </w:rPr>
        <w:t>Апанащик У.А. - член Комиссии, специалист эксперт отдела контроля закупок,</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отсутствие представителей ООО «БРОКЕР ГРУПП» (о месте и времени рассмотрения жалобы сторона уведомлена надлежащим образом, посредством ЕИС), в присутствии представителя администрации городского поселения - город Богучар Воронежской области — главы администрации Аксенова С.А.</w:t>
      </w:r>
    </w:p>
    <w:p>
      <w:pPr>
        <w:pStyle w:val="Style14"/>
        <w:keepNext w:val="0"/>
        <w:keepLines w:val="0"/>
        <w:widowControl w:val="0"/>
        <w:shd w:val="clear" w:color="auto" w:fill="auto"/>
        <w:bidi w:val="0"/>
        <w:spacing w:before="0" w:after="440"/>
        <w:ind w:left="0" w:right="0" w:firstLine="720"/>
        <w:jc w:val="both"/>
      </w:pPr>
      <w:r>
        <w:rPr>
          <w:color w:val="000000"/>
          <w:spacing w:val="0"/>
          <w:w w:val="100"/>
          <w:position w:val="0"/>
          <w:shd w:val="clear" w:color="auto" w:fill="auto"/>
          <w:lang w:val="ru-RU" w:eastAsia="ru-RU" w:bidi="ru-RU"/>
        </w:rPr>
        <w:t>рассмотрев жалобу ООО «БРОКЕР ГРУПП» на действия администрации городского поселения - город Богучар Воронежской области при проведении открытого конкурса в электронной форме на выполнение работ по обустройству ливневой канализации по ул. Пригородная, ул. Северная, ул. Масловского в г. Богучар (1 этап) (номер извещения № 0131300032324000016),</w:t>
      </w:r>
    </w:p>
    <w:p>
      <w:pPr>
        <w:pStyle w:val="Style14"/>
        <w:keepNext w:val="0"/>
        <w:keepLines w:val="0"/>
        <w:widowControl w:val="0"/>
        <w:shd w:val="clear" w:color="auto" w:fill="auto"/>
        <w:bidi w:val="0"/>
        <w:spacing w:before="0" w:after="440"/>
        <w:ind w:left="0" w:right="0" w:firstLine="0"/>
        <w:jc w:val="center"/>
      </w:pPr>
      <w:r>
        <w:rPr>
          <w:color w:val="000000"/>
          <w:spacing w:val="0"/>
          <w:w w:val="100"/>
          <w:position w:val="0"/>
          <w:shd w:val="clear" w:color="auto" w:fill="auto"/>
          <w:lang w:val="ru-RU" w:eastAsia="ru-RU" w:bidi="ru-RU"/>
        </w:rPr>
        <w:t>У С Т А Н О В И Л А:</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Управление Федеральной антимонопольной службы по Воронежской области поступила жалоба ООО «БРОКЕР ГРУПП» (далее - Заявитель) на действия администрации городского поселения - город Богучар Воронежской области (далее — Заказчик) при проведении открытого конкурса в электронной форме на выполнение работ по обустройству ливневой канализации по ул. Пригородная, ул. Северная, ул. Масловского в г. Богучар (1 этап) (номер извещения № 0131300032324000016).</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По мнению Заявителя, действия Заказчика нарушают требования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что выразилось в неправомерном </w:t>
      </w:r>
      <w:r>
        <w:rPr>
          <w:color w:val="000000"/>
          <w:spacing w:val="0"/>
          <w:w w:val="100"/>
          <w:position w:val="0"/>
          <w:shd w:val="clear" w:color="auto" w:fill="auto"/>
          <w:lang w:val="ru-RU" w:eastAsia="ru-RU" w:bidi="ru-RU"/>
        </w:rPr>
        <w:t>установлении дополнительных требований, предусмотренных пунктом 8 приложения к Постановлению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 2571).</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Изучив материалы дела, Комиссия Воронежского УФАС России установила следующее.</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10.09.2024 года в Единой информационной системе размещено Извещение о проведении открытого конкурса в электронной форме № 0131300032324000016 (далее - Извещение).</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- 9 698 831,53 рублей.</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Предметом рассматриваемой закупки является благоустройство ливневой канализации по ул. Пригородная, ул. Северная, ул. Масловского в г. Богучар (1 этап).</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Определение поставщика (подрядчика, исполнителя) осуществляется путём проведения открытого конкурса в электронной форме.</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частью 1 статьи 105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проведении конкурентных способов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Извещением установлены требование к участникам закупки в соответствии с позицией 8 раздела II приложения к Постановлению Правительства РФ от 29.12.2021 № 2571: «Наличие у участника закупки следующего опыта выполнения работ:</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1) опыт исполнения договора строительного подряда, предусматривающего </w:t>
      </w:r>
      <w:r>
        <w:rPr>
          <w:color w:val="000000"/>
          <w:spacing w:val="0"/>
          <w:w w:val="100"/>
          <w:position w:val="0"/>
          <w:shd w:val="clear" w:color="auto" w:fill="auto"/>
          <w:lang w:val="ru-RU" w:eastAsia="ru-RU" w:bidi="ru-RU"/>
        </w:rPr>
        <w:t>выполнение работ по строительству, реконструкции линейного объекта, за исключением автомобильной дороги;</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2) опыт выполнения участником закупки, являющимся застройщиком, работ по строительству, реконструкции линейного объекта, за исключением автомобильной дороги.</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Цена выполненных работ по договору, предусмотренному пунктом 1 настоящей графы настоящей позиции, цена выполненных работ, предусмотренных пунктом 2 настоящей графы настоящей позиции, должна составлять:</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не менее 30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500 млн. рублей</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случае наличия опыта, предусмотренного пунктом 1 графы "Дополнительные требования к участникам закупки" настоящей позиции:</w:t>
      </w:r>
    </w:p>
    <w:p>
      <w:pPr>
        <w:pStyle w:val="Style14"/>
        <w:keepNext w:val="0"/>
        <w:keepLines w:val="0"/>
        <w:widowControl w:val="0"/>
        <w:numPr>
          <w:ilvl w:val="0"/>
          <w:numId w:val="3"/>
        </w:numPr>
        <w:shd w:val="clear" w:color="auto" w:fill="auto"/>
        <w:tabs>
          <w:tab w:pos="1106" w:val="left"/>
        </w:tabs>
        <w:bidi w:val="0"/>
        <w:spacing w:before="0" w:after="0"/>
        <w:ind w:left="0" w:right="0" w:firstLine="720"/>
        <w:jc w:val="both"/>
      </w:pPr>
      <w:r>
        <w:rPr>
          <w:color w:val="000000"/>
          <w:spacing w:val="0"/>
          <w:w w:val="100"/>
          <w:position w:val="0"/>
          <w:shd w:val="clear" w:color="auto" w:fill="auto"/>
          <w:lang w:val="ru-RU" w:eastAsia="ru-RU" w:bidi="ru-RU"/>
        </w:rPr>
        <w:t>исполненный договор;</w:t>
      </w:r>
    </w:p>
    <w:p>
      <w:pPr>
        <w:pStyle w:val="Style14"/>
        <w:keepNext w:val="0"/>
        <w:keepLines w:val="0"/>
        <w:widowControl w:val="0"/>
        <w:numPr>
          <w:ilvl w:val="0"/>
          <w:numId w:val="3"/>
        </w:numPr>
        <w:shd w:val="clear" w:color="auto" w:fill="auto"/>
        <w:tabs>
          <w:tab w:pos="1130" w:val="left"/>
        </w:tabs>
        <w:bidi w:val="0"/>
        <w:spacing w:before="0" w:after="0"/>
        <w:ind w:left="0" w:right="0" w:firstLine="720"/>
        <w:jc w:val="both"/>
      </w:pPr>
      <w:r>
        <w:rPr>
          <w:color w:val="000000"/>
          <w:spacing w:val="0"/>
          <w:w w:val="100"/>
          <w:position w:val="0"/>
          <w:shd w:val="clear" w:color="auto" w:fill="auto"/>
          <w:lang w:val="ru-RU" w:eastAsia="ru-RU" w:bidi="ru-RU"/>
        </w:rPr>
        <w:t>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pPr>
        <w:pStyle w:val="Style14"/>
        <w:keepNext w:val="0"/>
        <w:keepLines w:val="0"/>
        <w:widowControl w:val="0"/>
        <w:numPr>
          <w:ilvl w:val="0"/>
          <w:numId w:val="3"/>
        </w:numPr>
        <w:shd w:val="clear" w:color="auto" w:fill="auto"/>
        <w:tabs>
          <w:tab w:pos="1130" w:val="left"/>
        </w:tabs>
        <w:bidi w:val="0"/>
        <w:spacing w:before="0" w:after="0"/>
        <w:ind w:left="0" w:right="0" w:firstLine="720"/>
        <w:jc w:val="both"/>
      </w:pPr>
      <w:r>
        <w:rPr>
          <w:color w:val="000000"/>
          <w:spacing w:val="0"/>
          <w:w w:val="100"/>
          <w:position w:val="0"/>
          <w:shd w:val="clear" w:color="auto" w:fill="auto"/>
          <w:lang w:val="ru-RU" w:eastAsia="ru-RU" w:bidi="ru-RU"/>
        </w:rPr>
        <w:t xml:space="preserve">разрешение на ввод объекта капитального строительства в эксплуатацию (за исключением случая, если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абзацем вторым настоящей графы, предусматривает </w:t>
      </w:r>
      <w:r>
        <w:rPr>
          <w:color w:val="000000"/>
          <w:spacing w:val="0"/>
          <w:w w:val="100"/>
          <w:position w:val="0"/>
          <w:shd w:val="clear" w:color="auto" w:fill="auto"/>
          <w:lang w:val="ru-RU" w:eastAsia="ru-RU" w:bidi="ru-RU"/>
        </w:rPr>
        <w:t>выполнение работ, не требующих в соответствии с указанным законодательством выдачи такого разрешения) или решение о технической готовности линейного объекта инфраструктуры к временной эксплуатации.</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случае наличия опыта, предусмотренного пунктом 2 графы "Дополнительные требования к участникам закупки" настоящей позиции:</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1) раздел "Смета на строительство, реконструкцию, капитальный ремонт, снос объекта капитального строительства" проектной документации;</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Вместе с тем согласно сведениям ЕИС, ООО «БРОКЕР ГРУПП» (ИНН: 5908077342) не является исполнителем по государственным или муниципальным контрактам.</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Также, ООО «БРОКЕР ГРУПП» заявку на участие в данной закупке не подавало.</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связи с изложенным, Комиссия Воронежского УФАС России приходит к выводу о том, что ООО «БРОКЕР ГРУПП» не имеет опыта выполнения работ в соответствии с позицией 8 раздела II приложения к Постановлению Правительства РФ от 29.12.2021 № 2571.</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Заявитель не может являться участником закупки, и как следствие, права и законные интересы Заявителя не могут быть нарушены.</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 основании вышеизложенного Комиссия Воронежского УФАС принимает решение оставить доводы жалобы без рассмотрения.</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В целях проверки соблюдения требований законодательства, руководствуясь пунктом 2 частью 15 статьи 99 Закона о контрактной системе, подпунктом а) пункта 19 Правил осуществления контроля в сфере закупок товаров, работ, услуг в отношении заказчиков, контрактных служб, контрактных управляющих, комиссий 2024-5002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w:t>
      </w:r>
      <w:r>
        <w:rPr>
          <w:color w:val="000000"/>
          <w:spacing w:val="0"/>
          <w:w w:val="100"/>
          <w:position w:val="0"/>
          <w:shd w:val="clear" w:color="auto" w:fill="auto"/>
          <w:lang w:val="ru-RU" w:eastAsia="ru-RU" w:bidi="ru-RU"/>
        </w:rPr>
        <w:t>электронных площадок, утвержденных Постановлением Правительства РФ от 01.10.2020 № 1576 проведена внеплановая проверка действий администрации городского поселения - город Богучар Воронежской области при проведении открытого конкурса в электронной форме на выполнение работ по обустройству ливневой канализации по ул. Пригородная, ул. Северная, ул. Масловского в г. Богучар (1 этап) (номер извещения № 0131300032324000016).</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силу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Конкурентными способами определения поставщиков являются, в том числе конкурсы (открытый конкурс в электронной форме, закрытый конкурс, закрытый конкурс в электронной форме (часть 2 статьи 24 Закона о контрактной системе).</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ч. 1 ст. 32 Закона о контрактной системе для оценки заявок участников закупки заказчик использует следующие критерии:</w:t>
      </w:r>
    </w:p>
    <w:p>
      <w:pPr>
        <w:pStyle w:val="Style14"/>
        <w:keepNext w:val="0"/>
        <w:keepLines w:val="0"/>
        <w:widowControl w:val="0"/>
        <w:numPr>
          <w:ilvl w:val="0"/>
          <w:numId w:val="5"/>
        </w:numPr>
        <w:shd w:val="clear" w:color="auto" w:fill="auto"/>
        <w:tabs>
          <w:tab w:pos="1052" w:val="left"/>
        </w:tabs>
        <w:bidi w:val="0"/>
        <w:spacing w:before="0" w:after="0"/>
        <w:ind w:left="0" w:right="0" w:firstLine="72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14"/>
        <w:keepNext w:val="0"/>
        <w:keepLines w:val="0"/>
        <w:widowControl w:val="0"/>
        <w:numPr>
          <w:ilvl w:val="0"/>
          <w:numId w:val="5"/>
        </w:numPr>
        <w:shd w:val="clear" w:color="auto" w:fill="auto"/>
        <w:tabs>
          <w:tab w:pos="1076" w:val="left"/>
        </w:tabs>
        <w:bidi w:val="0"/>
        <w:spacing w:before="0" w:after="0"/>
        <w:ind w:left="0" w:right="0" w:firstLine="72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14"/>
        <w:keepNext w:val="0"/>
        <w:keepLines w:val="0"/>
        <w:widowControl w:val="0"/>
        <w:numPr>
          <w:ilvl w:val="0"/>
          <w:numId w:val="5"/>
        </w:numPr>
        <w:shd w:val="clear" w:color="auto" w:fill="auto"/>
        <w:tabs>
          <w:tab w:pos="1075" w:val="left"/>
        </w:tabs>
        <w:bidi w:val="0"/>
        <w:spacing w:before="0" w:after="0"/>
        <w:ind w:left="0" w:right="0" w:firstLine="72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14"/>
        <w:keepNext w:val="0"/>
        <w:keepLines w:val="0"/>
        <w:widowControl w:val="0"/>
        <w:numPr>
          <w:ilvl w:val="0"/>
          <w:numId w:val="5"/>
        </w:numPr>
        <w:shd w:val="clear" w:color="auto" w:fill="auto"/>
        <w:tabs>
          <w:tab w:pos="1076" w:val="left"/>
        </w:tabs>
        <w:bidi w:val="0"/>
        <w:spacing w:before="0" w:after="0"/>
        <w:ind w:left="0" w:right="0" w:firstLine="720"/>
        <w:jc w:val="both"/>
      </w:pPr>
      <w:r>
        <w:rPr>
          <w:color w:val="000000"/>
          <w:spacing w:val="0"/>
          <w:w w:val="100"/>
          <w:position w:val="0"/>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частью 4 статьи 32 Закона о контрактной системе в извещении об осуществлении закупки, документации о закупке (в случае, если данным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пункту 2 Положения «оценка заявок» - действия членов комиссии по осуществлению закупок по присвоению в случаях, предусмотренных Законом о контрактной системе, и в соответствии с Положением баллов заявкам (частям заявок) на основании информации и документов участников закупок.</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 основании подпункта «г» пункта 3 Положения для оценки заявок в соответствии с Положением применяется критерий 2 Квалификация участников закупки». Согласно пункту 8 Положения в случае применения показателей оценки по критерию оценки, предусмотренному подпунктом «г» пункта 3 Положения:</w:t>
      </w:r>
    </w:p>
    <w:p>
      <w:pPr>
        <w:pStyle w:val="Style14"/>
        <w:keepNext w:val="0"/>
        <w:keepLines w:val="0"/>
        <w:widowControl w:val="0"/>
        <w:numPr>
          <w:ilvl w:val="0"/>
          <w:numId w:val="7"/>
        </w:numPr>
        <w:shd w:val="clear" w:color="auto" w:fill="auto"/>
        <w:tabs>
          <w:tab w:pos="1067" w:val="left"/>
        </w:tabs>
        <w:bidi w:val="0"/>
        <w:spacing w:before="0" w:after="0"/>
        <w:ind w:left="0" w:right="0" w:firstLine="720"/>
        <w:jc w:val="both"/>
      </w:pPr>
      <w:r>
        <w:rPr>
          <w:color w:val="000000"/>
          <w:spacing w:val="0"/>
          <w:w w:val="100"/>
          <w:position w:val="0"/>
          <w:shd w:val="clear" w:color="auto" w:fill="auto"/>
          <w:lang w:val="ru-RU" w:eastAsia="ru-RU" w:bidi="ru-RU"/>
        </w:rPr>
        <w:t>применяются детализирующие показатели;</w:t>
      </w:r>
    </w:p>
    <w:p>
      <w:pPr>
        <w:pStyle w:val="Style14"/>
        <w:keepNext w:val="0"/>
        <w:keepLines w:val="0"/>
        <w:widowControl w:val="0"/>
        <w:numPr>
          <w:ilvl w:val="0"/>
          <w:numId w:val="7"/>
        </w:numPr>
        <w:shd w:val="clear" w:color="auto" w:fill="auto"/>
        <w:tabs>
          <w:tab w:pos="1186" w:val="left"/>
        </w:tabs>
        <w:bidi w:val="0"/>
        <w:spacing w:before="0" w:after="0"/>
        <w:ind w:left="0" w:right="0" w:firstLine="720"/>
        <w:jc w:val="both"/>
      </w:pPr>
      <w:r>
        <w:rPr>
          <w:color w:val="000000"/>
          <w:spacing w:val="0"/>
          <w:w w:val="100"/>
          <w:position w:val="0"/>
          <w:shd w:val="clear" w:color="auto" w:fill="auto"/>
          <w:lang w:val="ru-RU" w:eastAsia="ru-RU" w:bidi="ru-RU"/>
        </w:rPr>
        <w:t>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pPr>
        <w:pStyle w:val="Style14"/>
        <w:keepNext w:val="0"/>
        <w:keepLines w:val="0"/>
        <w:widowControl w:val="0"/>
        <w:numPr>
          <w:ilvl w:val="0"/>
          <w:numId w:val="7"/>
        </w:numPr>
        <w:shd w:val="clear" w:color="auto" w:fill="auto"/>
        <w:tabs>
          <w:tab w:pos="1111" w:val="left"/>
        </w:tabs>
        <w:bidi w:val="0"/>
        <w:spacing w:before="0" w:after="0"/>
        <w:ind w:left="0" w:right="0" w:firstLine="720"/>
        <w:jc w:val="both"/>
      </w:pPr>
      <w:r>
        <w:rPr>
          <w:color w:val="000000"/>
          <w:spacing w:val="0"/>
          <w:w w:val="100"/>
          <w:position w:val="0"/>
          <w:shd w:val="clear" w:color="auto" w:fill="auto"/>
          <w:lang w:val="ru-RU" w:eastAsia="ru-RU" w:bidi="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 Подпунктом «в» пункта 24 Положения установлено, что для оценки заявок по критерию оценки «Квалификация участников закупки» может применяться, если иное не предусмотрено Положением, показатель оценки «Наличие у участников закупки опыта поставки товара, выполнения работы, оказания услуги, связанного с предметом контракта».</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силу пункта 28 Положения в случае применения показателя оценки, предусмотренного подпунктом «в» пункта 24 Положения:</w:t>
      </w:r>
    </w:p>
    <w:p>
      <w:pPr>
        <w:pStyle w:val="Style14"/>
        <w:keepNext w:val="0"/>
        <w:keepLines w:val="0"/>
        <w:widowControl w:val="0"/>
        <w:numPr>
          <w:ilvl w:val="0"/>
          <w:numId w:val="9"/>
        </w:numPr>
        <w:shd w:val="clear" w:color="auto" w:fill="auto"/>
        <w:tabs>
          <w:tab w:pos="1186" w:val="left"/>
        </w:tabs>
        <w:bidi w:val="0"/>
        <w:spacing w:before="0" w:after="0"/>
        <w:ind w:left="0" w:right="0" w:firstLine="720"/>
        <w:jc w:val="both"/>
      </w:pPr>
      <w:r>
        <w:rPr>
          <w:color w:val="000000"/>
          <w:spacing w:val="0"/>
          <w:w w:val="100"/>
          <w:position w:val="0"/>
          <w:shd w:val="clear" w:color="auto" w:fill="auto"/>
          <w:lang w:val="ru-RU" w:eastAsia="ru-RU" w:bidi="ru-RU"/>
        </w:rPr>
        <w:t>применяются один или несколько из следующих детализирующих показателей оценки: - общая цена исполненных участником закупки договоров; - общее количество исполненных участником закупки договоров; - наибольшая цена одного из исполненных участником закупки договоров;</w:t>
      </w:r>
    </w:p>
    <w:p>
      <w:pPr>
        <w:pStyle w:val="Style14"/>
        <w:keepNext w:val="0"/>
        <w:keepLines w:val="0"/>
        <w:widowControl w:val="0"/>
        <w:numPr>
          <w:ilvl w:val="0"/>
          <w:numId w:val="9"/>
        </w:numPr>
        <w:shd w:val="clear" w:color="auto" w:fill="auto"/>
        <w:tabs>
          <w:tab w:pos="1186" w:val="left"/>
        </w:tabs>
        <w:bidi w:val="0"/>
        <w:spacing w:before="0" w:after="0"/>
        <w:ind w:left="0" w:right="0" w:firstLine="720"/>
        <w:jc w:val="both"/>
      </w:pPr>
      <w:r>
        <w:rPr>
          <w:color w:val="000000"/>
          <w:spacing w:val="0"/>
          <w:w w:val="100"/>
          <w:position w:val="0"/>
          <w:shd w:val="clear" w:color="auto" w:fill="auto"/>
          <w:lang w:val="ru-RU" w:eastAsia="ru-RU" w:bidi="ru-RU"/>
        </w:rPr>
        <w:t>оценка заявок по детализирующим показателям, предусмотренным подпунктом «а» пункта 28 Положения, осуществляется в порядке, установленном пунктами 20 и 21 Положения, применение шкалы оценки не допускается;</w:t>
      </w:r>
    </w:p>
    <w:p>
      <w:pPr>
        <w:pStyle w:val="Style14"/>
        <w:keepNext w:val="0"/>
        <w:keepLines w:val="0"/>
        <w:widowControl w:val="0"/>
        <w:numPr>
          <w:ilvl w:val="0"/>
          <w:numId w:val="9"/>
        </w:numPr>
        <w:shd w:val="clear" w:color="auto" w:fill="auto"/>
        <w:tabs>
          <w:tab w:pos="1901" w:val="left"/>
        </w:tabs>
        <w:bidi w:val="0"/>
        <w:spacing w:before="0" w:after="0"/>
        <w:ind w:left="0" w:right="0" w:firstLine="720"/>
        <w:jc w:val="both"/>
      </w:pPr>
      <w:r>
        <w:rPr>
          <w:color w:val="000000"/>
          <w:spacing w:val="0"/>
          <w:w w:val="100"/>
          <w:position w:val="0"/>
          <w:shd w:val="clear" w:color="auto" w:fill="auto"/>
          <w:lang w:val="ru-RU" w:eastAsia="ru-RU" w:bidi="ru-RU"/>
        </w:rPr>
        <w:t>документом, предусмотренным приложением № 1 к Положению:</w:t>
      </w:r>
    </w:p>
    <w:p>
      <w:pPr>
        <w:pStyle w:val="Style14"/>
        <w:keepNext w:val="0"/>
        <w:keepLines w:val="0"/>
        <w:widowControl w:val="0"/>
        <w:numPr>
          <w:ilvl w:val="0"/>
          <w:numId w:val="11"/>
        </w:numPr>
        <w:shd w:val="clear" w:color="auto" w:fill="auto"/>
        <w:tabs>
          <w:tab w:pos="947" w:val="left"/>
        </w:tabs>
        <w:bidi w:val="0"/>
        <w:spacing w:before="0" w:after="0"/>
        <w:ind w:left="0" w:right="0" w:firstLine="720"/>
        <w:jc w:val="both"/>
      </w:pPr>
      <w:r>
        <w:rPr>
          <w:color w:val="000000"/>
          <w:spacing w:val="0"/>
          <w:w w:val="100"/>
          <w:position w:val="0"/>
          <w:shd w:val="clear" w:color="auto" w:fill="auto"/>
          <w:lang w:val="ru-RU" w:eastAsia="ru-RU" w:bidi="ru-RU"/>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14"/>
        <w:keepNext w:val="0"/>
        <w:keepLines w:val="0"/>
        <w:widowControl w:val="0"/>
        <w:numPr>
          <w:ilvl w:val="0"/>
          <w:numId w:val="11"/>
        </w:numPr>
        <w:shd w:val="clear" w:color="auto" w:fill="auto"/>
        <w:tabs>
          <w:tab w:pos="974" w:val="left"/>
        </w:tabs>
        <w:bidi w:val="0"/>
        <w:spacing w:before="0" w:after="0"/>
        <w:ind w:left="0" w:right="0" w:firstLine="740"/>
        <w:jc w:val="both"/>
      </w:pPr>
      <w:r>
        <w:rPr>
          <w:color w:val="000000"/>
          <w:spacing w:val="0"/>
          <w:w w:val="100"/>
          <w:position w:val="0"/>
          <w:shd w:val="clear" w:color="auto" w:fill="auto"/>
          <w:lang w:val="ru-RU" w:eastAsia="ru-RU" w:bidi="ru-RU"/>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14"/>
        <w:keepNext w:val="0"/>
        <w:keepLines w:val="0"/>
        <w:widowControl w:val="0"/>
        <w:numPr>
          <w:ilvl w:val="0"/>
          <w:numId w:val="11"/>
        </w:numPr>
        <w:shd w:val="clear" w:color="auto" w:fill="auto"/>
        <w:tabs>
          <w:tab w:pos="974" w:val="left"/>
        </w:tabs>
        <w:bidi w:val="0"/>
        <w:spacing w:before="0" w:after="0"/>
        <w:ind w:left="0" w:right="0" w:firstLine="740"/>
        <w:jc w:val="both"/>
      </w:pPr>
      <w:r>
        <w:rPr>
          <w:color w:val="000000"/>
          <w:spacing w:val="0"/>
          <w:w w:val="100"/>
          <w:position w:val="0"/>
          <w:shd w:val="clear" w:color="auto" w:fill="auto"/>
          <w:lang w:val="ru-RU" w:eastAsia="ru-RU" w:bidi="ru-RU"/>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14"/>
        <w:keepNext w:val="0"/>
        <w:keepLines w:val="0"/>
        <w:widowControl w:val="0"/>
        <w:numPr>
          <w:ilvl w:val="0"/>
          <w:numId w:val="13"/>
        </w:numPr>
        <w:shd w:val="clear" w:color="auto" w:fill="auto"/>
        <w:tabs>
          <w:tab w:pos="1047" w:val="left"/>
        </w:tabs>
        <w:bidi w:val="0"/>
        <w:spacing w:before="0" w:after="0"/>
        <w:ind w:left="0" w:right="0" w:firstLine="740"/>
        <w:jc w:val="both"/>
      </w:pPr>
      <w:r>
        <w:rPr>
          <w:color w:val="000000"/>
          <w:spacing w:val="0"/>
          <w:w w:val="100"/>
          <w:position w:val="0"/>
          <w:shd w:val="clear" w:color="auto" w:fill="auto"/>
          <w:lang w:val="ru-RU" w:eastAsia="ru-RU" w:bidi="ru-RU"/>
        </w:rPr>
        <w:t>последний акт, составленный при исполнении договора и предусмотренный абзацем третьим подпункта «в» пункта 28 Положения, должен быть подписан не ранее чем за 5 лет до даты окончания срока подачи заявок.</w:t>
      </w:r>
    </w:p>
    <w:p>
      <w:pPr>
        <w:pStyle w:val="Style14"/>
        <w:keepNext w:val="0"/>
        <w:keepLines w:val="0"/>
        <w:widowControl w:val="0"/>
        <w:numPr>
          <w:ilvl w:val="0"/>
          <w:numId w:val="13"/>
        </w:numPr>
        <w:shd w:val="clear" w:color="auto" w:fill="auto"/>
        <w:tabs>
          <w:tab w:pos="1076" w:val="left"/>
        </w:tabs>
        <w:bidi w:val="0"/>
        <w:spacing w:before="0" w:after="0"/>
        <w:ind w:left="0" w:right="0" w:firstLine="740"/>
        <w:jc w:val="both"/>
      </w:pPr>
      <w:r>
        <w:rPr>
          <w:color w:val="000000"/>
          <w:spacing w:val="0"/>
          <w:w w:val="100"/>
          <w:position w:val="0"/>
          <w:shd w:val="clear" w:color="auto" w:fill="auto"/>
          <w:lang w:val="ru-RU" w:eastAsia="ru-RU" w:bidi="ru-RU"/>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 Приложением № 5 «Порядок рассмотрения и оценки заявок на участие в конкурсе» к извещению открытого конкурса в электронной форме утверждены критерии и показатели оценки заявок на участие в закупке.</w:t>
      </w:r>
    </w:p>
    <w:p>
      <w:pPr>
        <w:pStyle w:val="Style1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п. 31 Положения при осуществлении закупки, по результатам проведения которой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и частью 56 статьи 112 Федерального закона,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pPr>
        <w:pStyle w:val="Style14"/>
        <w:keepNext w:val="0"/>
        <w:keepLines w:val="0"/>
        <w:widowControl w:val="0"/>
        <w:numPr>
          <w:ilvl w:val="0"/>
          <w:numId w:val="13"/>
        </w:numPr>
        <w:shd w:val="clear" w:color="auto" w:fill="auto"/>
        <w:tabs>
          <w:tab w:pos="1013" w:val="left"/>
        </w:tabs>
        <w:bidi w:val="0"/>
        <w:spacing w:before="0" w:after="0"/>
        <w:ind w:left="0" w:right="0" w:firstLine="740"/>
        <w:jc w:val="both"/>
      </w:pPr>
      <w:r>
        <w:rPr>
          <w:color w:val="000000"/>
          <w:spacing w:val="0"/>
          <w:w w:val="100"/>
          <w:position w:val="0"/>
          <w:shd w:val="clear" w:color="auto" w:fill="auto"/>
          <w:lang w:val="ru-RU" w:eastAsia="ru-RU" w:bidi="ru-RU"/>
        </w:rPr>
        <w:t xml:space="preserve">критерии оценки, предусмотренные подпунктами "б" и "в" пункта 3 </w:t>
      </w:r>
      <w:r>
        <w:rPr>
          <w:color w:val="000000"/>
          <w:spacing w:val="0"/>
          <w:w w:val="100"/>
          <w:position w:val="0"/>
          <w:shd w:val="clear" w:color="auto" w:fill="auto"/>
          <w:lang w:val="ru-RU" w:eastAsia="ru-RU" w:bidi="ru-RU"/>
        </w:rPr>
        <w:t>настоящего Положения, не применяются;</w:t>
      </w:r>
    </w:p>
    <w:p>
      <w:pPr>
        <w:pStyle w:val="Style14"/>
        <w:keepNext w:val="0"/>
        <w:keepLines w:val="0"/>
        <w:widowControl w:val="0"/>
        <w:numPr>
          <w:ilvl w:val="0"/>
          <w:numId w:val="13"/>
        </w:numPr>
        <w:shd w:val="clear" w:color="auto" w:fill="auto"/>
        <w:tabs>
          <w:tab w:pos="1126" w:val="left"/>
        </w:tabs>
        <w:bidi w:val="0"/>
        <w:spacing w:before="0" w:after="0"/>
        <w:ind w:left="0" w:right="0" w:firstLine="720"/>
        <w:jc w:val="both"/>
      </w:pPr>
      <w:r>
        <w:rPr>
          <w:color w:val="000000"/>
          <w:spacing w:val="0"/>
          <w:w w:val="100"/>
          <w:position w:val="0"/>
          <w:shd w:val="clear" w:color="auto" w:fill="auto"/>
          <w:lang w:val="ru-RU" w:eastAsia="ru-RU" w:bidi="ru-RU"/>
        </w:rPr>
        <w:t>для оценки заявок по критерию, предусмотренному подпунктом "г" пункта 3 настоящего Положения, подлежит обязательному применению исключительно показатель оценки, предусмотренный подпунктом "в" пункта 24 настоящего Положения;</w:t>
      </w:r>
    </w:p>
    <w:p>
      <w:pPr>
        <w:pStyle w:val="Style14"/>
        <w:keepNext w:val="0"/>
        <w:keepLines w:val="0"/>
        <w:widowControl w:val="0"/>
        <w:numPr>
          <w:ilvl w:val="0"/>
          <w:numId w:val="13"/>
        </w:numPr>
        <w:shd w:val="clear" w:color="auto" w:fill="auto"/>
        <w:tabs>
          <w:tab w:pos="1122" w:val="left"/>
        </w:tabs>
        <w:bidi w:val="0"/>
        <w:spacing w:before="0" w:after="0"/>
        <w:ind w:left="0" w:right="0" w:firstLine="720"/>
        <w:jc w:val="both"/>
      </w:pPr>
      <w:r>
        <w:rPr>
          <w:color w:val="000000"/>
          <w:spacing w:val="0"/>
          <w:w w:val="100"/>
          <w:position w:val="0"/>
          <w:shd w:val="clear" w:color="auto" w:fill="auto"/>
          <w:lang w:val="ru-RU" w:eastAsia="ru-RU" w:bidi="ru-RU"/>
        </w:rPr>
        <w:t>документом, предусмотренным приложением К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на одном из следующих объектов, соответствующих объекту закупки:</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объект капитального строительства (за исключением линейного объекта);</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линейный объект, за исключением автомобильной дороги;</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автомобильная дорога;</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особо опасный, технически сложный и уникальный объект капитального строительства;</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объект культурного наследия (памятник истории и культуры) народов Российской Федерации;</w:t>
      </w:r>
    </w:p>
    <w:p>
      <w:pPr>
        <w:pStyle w:val="Style14"/>
        <w:keepNext w:val="0"/>
        <w:keepLines w:val="0"/>
        <w:widowControl w:val="0"/>
        <w:numPr>
          <w:ilvl w:val="0"/>
          <w:numId w:val="13"/>
        </w:numPr>
        <w:shd w:val="clear" w:color="auto" w:fill="auto"/>
        <w:tabs>
          <w:tab w:pos="1098" w:val="left"/>
        </w:tabs>
        <w:bidi w:val="0"/>
        <w:spacing w:before="0" w:after="0"/>
        <w:ind w:left="0" w:right="0" w:firstLine="720"/>
        <w:jc w:val="both"/>
      </w:pPr>
      <w:r>
        <w:rPr>
          <w:color w:val="000000"/>
          <w:spacing w:val="0"/>
          <w:w w:val="100"/>
          <w:position w:val="0"/>
          <w:shd w:val="clear" w:color="auto" w:fill="auto"/>
          <w:lang w:val="ru-RU" w:eastAsia="ru-RU" w:bidi="ru-RU"/>
        </w:rPr>
        <w:t>документом, предусмотренным приложением К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относящегося к одному или нескольким из следующих договоров (контрактов):</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контракт, предусмотренный частью 16 статьи 34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контракт, предусмотренный частью 16.1 статьи 34 Федерального закона;</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контракт, предусмотренный частью 56 статьи 112 Федерального закона;</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договор, не относящийся к контрактам, указанным в абзацах втором - </w:t>
      </w:r>
      <w:r>
        <w:rPr>
          <w:color w:val="000000"/>
          <w:spacing w:val="0"/>
          <w:w w:val="100"/>
          <w:position w:val="0"/>
          <w:shd w:val="clear" w:color="auto" w:fill="auto"/>
          <w:lang w:val="ru-RU" w:eastAsia="ru-RU" w:bidi="ru-RU"/>
        </w:rPr>
        <w:t>четвертом настоящего подпункта,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Вместе с тем, Комиссией установлено, что в нарушение подпункта "г" и "в" пункта 31 Положения, Заказчик установил следующие контракты: «Предметом контракта (контрактов)/договора (договоров), оцениваемого по детализирующему показателю, являются аналогичные работы по ремонту, строительству, обустройству ливневой канализации».</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в нарушение положений ст. 32, 42 Закона о контрактной системе Заказчик установил неправомерный сопоставимый характер, поскольку не оценивает работы по строительству, реконструкции, капитальному ремонту линейного объекта, за исключением автомобильной дороги, сносу объекта капитального строительства (в том числе линейного объекта).</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Заказчик необоснованно ограничивает количество участников закупки, а это противоречит пункту 4 части 2 статьи 42 Закона о контрактной системе и содержат признаки состава административного правонарушения, предусмотренного частью 4.1 статьи 7.30 Кодекса Российской Федерации об административных правонарушениях.</w:t>
      </w:r>
    </w:p>
    <w:p>
      <w:pPr>
        <w:pStyle w:val="Style14"/>
        <w:keepNext w:val="0"/>
        <w:keepLines w:val="0"/>
        <w:widowControl w:val="0"/>
        <w:shd w:val="clear" w:color="auto" w:fill="auto"/>
        <w:bidi w:val="0"/>
        <w:spacing w:before="0" w:after="440"/>
        <w:ind w:left="0" w:right="0" w:firstLine="720"/>
        <w:jc w:val="both"/>
      </w:pPr>
      <w:r>
        <w:rPr>
          <w:color w:val="000000"/>
          <w:spacing w:val="0"/>
          <w:w w:val="100"/>
          <w:position w:val="0"/>
          <w:shd w:val="clear" w:color="auto" w:fill="auto"/>
          <w:lang w:val="ru-RU" w:eastAsia="ru-RU" w:bidi="ru-RU"/>
        </w:rPr>
        <w:t>Руководствуясь ст.ст. 99, 106 Закона о контрактной системе, Комиссия Воронежского УФАС России,</w:t>
      </w:r>
    </w:p>
    <w:p>
      <w:pPr>
        <w:pStyle w:val="Style14"/>
        <w:keepNext w:val="0"/>
        <w:keepLines w:val="0"/>
        <w:widowControl w:val="0"/>
        <w:shd w:val="clear" w:color="auto" w:fill="auto"/>
        <w:bidi w:val="0"/>
        <w:spacing w:before="0" w:after="440"/>
        <w:ind w:left="0" w:right="0" w:firstLine="0"/>
        <w:jc w:val="center"/>
      </w:pPr>
      <w:r>
        <w:rPr>
          <w:color w:val="000000"/>
          <w:spacing w:val="0"/>
          <w:w w:val="100"/>
          <w:position w:val="0"/>
          <w:shd w:val="clear" w:color="auto" w:fill="auto"/>
          <w:lang w:val="ru-RU" w:eastAsia="ru-RU" w:bidi="ru-RU"/>
        </w:rPr>
        <w:t>Р Е Ш И Л А:</w:t>
      </w:r>
    </w:p>
    <w:p>
      <w:pPr>
        <w:pStyle w:val="Style14"/>
        <w:keepNext w:val="0"/>
        <w:keepLines w:val="0"/>
        <w:widowControl w:val="0"/>
        <w:numPr>
          <w:ilvl w:val="0"/>
          <w:numId w:val="15"/>
        </w:numPr>
        <w:shd w:val="clear" w:color="auto" w:fill="auto"/>
        <w:tabs>
          <w:tab w:pos="1080" w:val="left"/>
        </w:tabs>
        <w:bidi w:val="0"/>
        <w:spacing w:before="0" w:after="440"/>
        <w:ind w:left="0" w:right="0" w:firstLine="720"/>
        <w:jc w:val="both"/>
      </w:pPr>
      <w:r>
        <w:rPr>
          <w:color w:val="000000"/>
          <w:spacing w:val="0"/>
          <w:w w:val="100"/>
          <w:position w:val="0"/>
          <w:shd w:val="clear" w:color="auto" w:fill="auto"/>
          <w:lang w:val="ru-RU" w:eastAsia="ru-RU" w:bidi="ru-RU"/>
        </w:rPr>
        <w:t>Признать жалобу ООО «БРОКЕР ГРУПП» на действия администрации городского поселения - город Богучар Воронежской области при проведении открытого конкурса в электронной форме на выполнение работ по обустройству ливневой канализации по ул. Пригородная, ул. Северная, ул. Масловского в г. Богучар (1 этап) (номер извещения № 0131300032324000016) необоснованной.</w:t>
      </w:r>
      <w:r>
        <w:br w:type="page"/>
      </w:r>
    </w:p>
    <w:p>
      <w:pPr>
        <w:pStyle w:val="Style14"/>
        <w:keepNext w:val="0"/>
        <w:keepLines w:val="0"/>
        <w:widowControl w:val="0"/>
        <w:numPr>
          <w:ilvl w:val="0"/>
          <w:numId w:val="15"/>
        </w:numPr>
        <w:shd w:val="clear" w:color="auto" w:fill="auto"/>
        <w:tabs>
          <w:tab w:pos="1093" w:val="left"/>
        </w:tabs>
        <w:bidi w:val="0"/>
        <w:spacing w:before="0" w:after="0"/>
        <w:ind w:left="0" w:right="0" w:firstLine="720"/>
        <w:jc w:val="both"/>
      </w:pPr>
      <w:r>
        <w:rPr>
          <w:color w:val="000000"/>
          <w:spacing w:val="0"/>
          <w:w w:val="100"/>
          <w:position w:val="0"/>
          <w:shd w:val="clear" w:color="auto" w:fill="auto"/>
          <w:lang w:val="ru-RU" w:eastAsia="ru-RU" w:bidi="ru-RU"/>
        </w:rPr>
        <w:t>В результате внеплановой проверки признать в действиях Заказчика нарушение ч.1 ст. 32, п. 4 ч 2 ст. 42 Закона о контрактной системе.</w:t>
      </w:r>
    </w:p>
    <w:p>
      <w:pPr>
        <w:pStyle w:val="Style14"/>
        <w:keepNext w:val="0"/>
        <w:keepLines w:val="0"/>
        <w:widowControl w:val="0"/>
        <w:numPr>
          <w:ilvl w:val="0"/>
          <w:numId w:val="15"/>
        </w:numPr>
        <w:shd w:val="clear" w:color="auto" w:fill="auto"/>
        <w:tabs>
          <w:tab w:pos="1093" w:val="left"/>
        </w:tabs>
        <w:bidi w:val="0"/>
        <w:spacing w:before="0" w:after="0"/>
        <w:ind w:left="0" w:right="0" w:firstLine="720"/>
        <w:jc w:val="both"/>
      </w:pPr>
      <w:r>
        <w:rPr>
          <w:color w:val="000000"/>
          <w:spacing w:val="0"/>
          <w:w w:val="100"/>
          <w:position w:val="0"/>
          <w:shd w:val="clear" w:color="auto" w:fill="auto"/>
          <w:lang w:val="ru-RU" w:eastAsia="ru-RU" w:bidi="ru-RU"/>
        </w:rPr>
        <w:t>С учетом статуса Заявителя, результатов закупки, отсутствия иных лиц, чьи права были нарушены, предписание не выдавать.</w:t>
      </w:r>
    </w:p>
    <w:p>
      <w:pPr>
        <w:pStyle w:val="Style14"/>
        <w:keepNext w:val="0"/>
        <w:keepLines w:val="0"/>
        <w:widowControl w:val="0"/>
        <w:numPr>
          <w:ilvl w:val="0"/>
          <w:numId w:val="15"/>
        </w:numPr>
        <w:shd w:val="clear" w:color="auto" w:fill="auto"/>
        <w:tabs>
          <w:tab w:pos="1093" w:val="left"/>
        </w:tabs>
        <w:bidi w:val="0"/>
        <w:spacing w:before="0" w:after="440"/>
        <w:ind w:left="0" w:right="0" w:firstLine="720"/>
        <w:jc w:val="both"/>
      </w:pPr>
      <w:r>
        <w:rPr>
          <w:color w:val="000000"/>
          <w:spacing w:val="0"/>
          <w:w w:val="100"/>
          <w:position w:val="0"/>
          <w:shd w:val="clear" w:color="auto" w:fill="auto"/>
          <w:lang w:val="ru-RU" w:eastAsia="ru-RU" w:bidi="ru-RU"/>
        </w:rPr>
        <w:t>Передать материалы настоящего дела должностному лицу для рассмотрения вопроса привлечения ответственных должностных лиц к административной ответственности.</w:t>
      </w:r>
    </w:p>
    <w:p>
      <w:pPr>
        <w:pStyle w:val="Style14"/>
        <w:keepNext w:val="0"/>
        <w:keepLines w:val="0"/>
        <w:widowControl w:val="0"/>
        <w:shd w:val="clear" w:color="auto" w:fill="auto"/>
        <w:bidi w:val="0"/>
        <w:spacing w:before="0" w:after="12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335" w:right="535" w:bottom="1171" w:left="1098" w:header="0" w:footer="3" w:gutter="0"/>
          <w:cols w:space="720"/>
          <w:noEndnote/>
          <w:rtlGutter w:val="0"/>
          <w:docGrid w:linePitch="360"/>
        </w:sectPr>
      </w:pPr>
      <w:r>
        <mc:AlternateContent>
          <mc:Choice Requires="wps">
            <w:drawing>
              <wp:anchor distT="190500" distB="356235" distL="0" distR="0" simplePos="0" relativeHeight="125829378" behindDoc="0" locked="0" layoutInCell="1" allowOverlap="1">
                <wp:simplePos x="0" y="0"/>
                <wp:positionH relativeFrom="page">
                  <wp:posOffset>735330</wp:posOffset>
                </wp:positionH>
                <wp:positionV relativeFrom="paragraph">
                  <wp:posOffset>190500</wp:posOffset>
                </wp:positionV>
                <wp:extent cx="1828800" cy="250190"/>
                <wp:wrapTopAndBottom/>
                <wp:docPr id="6" name="Shape 6"/>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2" type="#_x0000_t202" style="position:absolute;margin-left:57.899999999999999pt;margin-top:15.pt;width:144.pt;height:19.699999999999999pt;z-index:-125829375;mso-wrap-distance-left:0;mso-wrap-distance-top:15.pt;mso-wrap-distance-right:0;mso-wrap-distance-bottom:28.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227330" distB="0" distL="0" distR="1789430" simplePos="0" relativeHeight="125829380" behindDoc="0" locked="0" layoutInCell="1" allowOverlap="1">
            <wp:simplePos x="0" y="0"/>
            <wp:positionH relativeFrom="page">
              <wp:posOffset>2945130</wp:posOffset>
            </wp:positionH>
            <wp:positionV relativeFrom="paragraph">
              <wp:posOffset>227330</wp:posOffset>
            </wp:positionV>
            <wp:extent cx="389890" cy="572770"/>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9"/>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3441700</wp:posOffset>
                </wp:positionH>
                <wp:positionV relativeFrom="paragraph">
                  <wp:posOffset>662940</wp:posOffset>
                </wp:positionV>
                <wp:extent cx="1280160" cy="103505"/>
                <wp:wrapNone/>
                <wp:docPr id="10" name="Shape 10"/>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BEBEB"/>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6" type="#_x0000_t202" style="position:absolute;margin-left:271.pt;margin-top:52.200000000000003pt;width:100.8pt;height:8.15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BEBEB"/>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3395980</wp:posOffset>
                </wp:positionH>
                <wp:positionV relativeFrom="paragraph">
                  <wp:posOffset>352425</wp:posOffset>
                </wp:positionV>
                <wp:extent cx="1725295" cy="255905"/>
                <wp:wrapNone/>
                <wp:docPr id="12" name="Shape 12"/>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8" type="#_x0000_t202" style="position:absolute;margin-left:267.39999999999998pt;margin-top:27.75pt;width:135.84999999999999pt;height:20.15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90500" distB="356235" distL="0" distR="0" simplePos="0" relativeHeight="125829381" behindDoc="0" locked="0" layoutInCell="1" allowOverlap="1">
                <wp:simplePos x="0" y="0"/>
                <wp:positionH relativeFrom="page">
                  <wp:posOffset>5862320</wp:posOffset>
                </wp:positionH>
                <wp:positionV relativeFrom="paragraph">
                  <wp:posOffset>190500</wp:posOffset>
                </wp:positionV>
                <wp:extent cx="1329055" cy="250190"/>
                <wp:wrapTopAndBottom/>
                <wp:docPr id="14" name="Shape 14"/>
                <a:graphic xmlns:a="http://schemas.openxmlformats.org/drawingml/2006/main">
                  <a:graphicData uri="http://schemas.microsoft.com/office/word/2010/wordprocessingShape">
                    <wps:wsp>
                      <wps:cNvSpPr txBox="1"/>
                      <wps:spPr>
                        <a:xfrm>
                          <a:ext cx="1329055"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Ю.В. Рощупкина</w:t>
                            </w:r>
                          </w:p>
                        </w:txbxContent>
                      </wps:txbx>
                      <wps:bodyPr wrap="none" lIns="0" tIns="0" rIns="0" bIns="0">
                        <a:noAutoFit/>
                      </wps:bodyPr>
                    </wps:wsp>
                  </a:graphicData>
                </a:graphic>
              </wp:anchor>
            </w:drawing>
          </mc:Choice>
          <mc:Fallback>
            <w:pict>
              <v:shape id="_x0000_s1040" type="#_x0000_t202" style="position:absolute;margin-left:461.60000000000002pt;margin-top:15.pt;width:104.65000000000001pt;height:19.699999999999999pt;z-index:-125829372;mso-wrap-distance-left:0;mso-wrap-distance-top:15.pt;mso-wrap-distance-right:0;mso-wrap-distance-bottom:28.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Ю.В. Рощупкина</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pPr>
      <w:r>
        <w:rPr>
          <w:color w:val="666666"/>
          <w:spacing w:val="0"/>
          <w:w w:val="100"/>
          <w:position w:val="0"/>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 xml:space="preserve">Рощупкина Юлия </w:t>
      </w:r>
      <w:r>
        <w:rPr>
          <w:color w:val="000000"/>
          <w:spacing w:val="0"/>
          <w:w w:val="100"/>
          <w:position w:val="0"/>
          <w:shd w:val="clear" w:color="auto" w:fill="auto"/>
          <w:lang w:val="ru-RU" w:eastAsia="ru-RU" w:bidi="ru-RU"/>
        </w:rPr>
        <w:t>Вениаминовна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00А071А2СОС9С6ПАО4925784АЕ0Е89В54</w:t>
      </w:r>
      <w:r>
        <w:rPr>
          <w:spacing w:val="0"/>
          <w:w w:val="100"/>
          <w:position w:val="0"/>
          <w:shd w:val="clear" w:color="auto" w:fill="auto"/>
          <w:lang w:val="ru-RU" w:eastAsia="ru-RU" w:bidi="ru-RU"/>
        </w:rPr>
        <w:t>Е</w:t>
      </w:r>
    </w:p>
    <w:p>
      <w:pPr>
        <w:pStyle w:val="Style23"/>
        <w:keepNext w:val="0"/>
        <w:keepLines w:val="0"/>
        <w:widowControl w:val="0"/>
        <w:shd w:val="clear" w:color="auto" w:fill="auto"/>
        <w:bidi w:val="0"/>
        <w:spacing w:before="0" w:after="280" w:line="240" w:lineRule="auto"/>
        <w:ind w:right="0" w:firstLine="0"/>
        <w:jc w:val="left"/>
      </w:pPr>
      <w:r>
        <w:rPr>
          <w:color w:val="666666"/>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66666"/>
          <w:spacing w:val="0"/>
          <w:w w:val="100"/>
          <w:position w:val="0"/>
          <w:shd w:val="clear" w:color="auto" w:fill="auto"/>
          <w:lang w:val="ru-RU" w:eastAsia="ru-RU" w:bidi="ru-RU"/>
        </w:rPr>
        <w:t xml:space="preserve">17.11.2023 </w:t>
      </w:r>
      <w:r>
        <w:rPr>
          <w:spacing w:val="0"/>
          <w:w w:val="100"/>
          <w:position w:val="0"/>
          <w:shd w:val="clear" w:color="auto" w:fill="auto"/>
          <w:lang w:val="ru-RU" w:eastAsia="ru-RU" w:bidi="ru-RU"/>
        </w:rPr>
        <w:t xml:space="preserve">по </w:t>
      </w:r>
      <w:r>
        <w:rPr>
          <w:color w:val="666666"/>
          <w:spacing w:val="0"/>
          <w:w w:val="100"/>
          <w:position w:val="0"/>
          <w:shd w:val="clear" w:color="auto" w:fill="auto"/>
          <w:lang w:val="ru-RU" w:eastAsia="ru-RU" w:bidi="ru-RU"/>
        </w:rPr>
        <w:t>09.02.2025</w:t>
      </w:r>
    </w:p>
    <w:p>
      <w:pPr>
        <w:pStyle w:val="Style14"/>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4"/>
        <w:keepNext w:val="0"/>
        <w:keepLines w:val="0"/>
        <w:widowControl w:val="0"/>
        <w:shd w:val="clear" w:color="auto" w:fill="auto"/>
        <w:bidi w:val="0"/>
        <w:spacing w:before="0" w:after="720" w:line="240" w:lineRule="auto"/>
        <w:ind w:left="0" w:right="0" w:firstLine="920"/>
        <w:jc w:val="left"/>
      </w:pPr>
      <w:r>
        <w:drawing>
          <wp:anchor distT="0" distB="0" distL="114300" distR="1903730" simplePos="0" relativeHeight="125829383" behindDoc="0" locked="0" layoutInCell="1" allowOverlap="1">
            <wp:simplePos x="0" y="0"/>
            <wp:positionH relativeFrom="page">
              <wp:posOffset>2945130</wp:posOffset>
            </wp:positionH>
            <wp:positionV relativeFrom="paragraph">
              <wp:posOffset>76200</wp:posOffset>
            </wp:positionV>
            <wp:extent cx="389890" cy="572770"/>
            <wp:wrapSquare wrapText="right"/>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1"/>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3441700</wp:posOffset>
                </wp:positionH>
                <wp:positionV relativeFrom="paragraph">
                  <wp:posOffset>514985</wp:posOffset>
                </wp:positionV>
                <wp:extent cx="1276985" cy="100330"/>
                <wp:wrapNone/>
                <wp:docPr id="18" name="Shape 18"/>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4" type="#_x0000_t202" style="position:absolute;margin-left:271.pt;margin-top:40.550000000000004pt;width:100.55pt;height:7.90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3395980</wp:posOffset>
                </wp:positionH>
                <wp:positionV relativeFrom="paragraph">
                  <wp:posOffset>201295</wp:posOffset>
                </wp:positionV>
                <wp:extent cx="1725295" cy="255905"/>
                <wp:wrapNone/>
                <wp:docPr id="20" name="Shape 20"/>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6" type="#_x0000_t202" style="position:absolute;margin-left:267.39999999999998pt;margin-top:15.85pt;width:135.84999999999999pt;height:20.15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Е.В. Коростылева</w:t>
      </w:r>
    </w:p>
    <w:p>
      <w:pPr>
        <w:pStyle w:val="Style23"/>
        <w:keepNext w:val="0"/>
        <w:keepLines w:val="0"/>
        <w:widowControl w:val="0"/>
        <w:shd w:val="clear" w:color="auto" w:fill="auto"/>
        <w:bidi w:val="0"/>
        <w:spacing w:before="0" w:after="0" w:line="266" w:lineRule="auto"/>
        <w:ind w:right="0" w:firstLine="0"/>
        <w:jc w:val="left"/>
      </w:pPr>
      <w:r>
        <w:rPr>
          <w:color w:val="666666"/>
          <w:spacing w:val="0"/>
          <w:w w:val="100"/>
          <w:position w:val="0"/>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 xml:space="preserve">Коростылева Елизавета Витальевна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0СВЕ123ВЗВ60О7182СВ01</w:t>
      </w:r>
      <w:r>
        <w:rPr>
          <w:color w:val="666666"/>
          <w:spacing w:val="0"/>
          <w:w w:val="100"/>
          <w:position w:val="0"/>
          <w:shd w:val="clear" w:color="auto" w:fill="auto"/>
          <w:lang w:val="ru-RU" w:eastAsia="ru-RU" w:bidi="ru-RU"/>
        </w:rPr>
        <w:t xml:space="preserve">ЗСЕЕЕ8191 </w:t>
      </w:r>
      <w:r>
        <w:rPr>
          <w:color w:val="262626"/>
          <w:spacing w:val="0"/>
          <w:w w:val="100"/>
          <w:position w:val="0"/>
          <w:shd w:val="clear" w:color="auto" w:fill="auto"/>
          <w:lang w:val="ru-RU" w:eastAsia="ru-RU" w:bidi="ru-RU"/>
        </w:rPr>
        <w:t>Е1</w:t>
      </w:r>
    </w:p>
    <w:p>
      <w:pPr>
        <w:pStyle w:val="Style23"/>
        <w:keepNext w:val="0"/>
        <w:keepLines w:val="0"/>
        <w:widowControl w:val="0"/>
        <w:shd w:val="clear" w:color="auto" w:fill="auto"/>
        <w:bidi w:val="0"/>
        <w:spacing w:before="0" w:after="520" w:line="266" w:lineRule="auto"/>
        <w:ind w:right="0" w:firstLine="0"/>
        <w:jc w:val="left"/>
      </w:pPr>
      <w:r>
        <w:rPr>
          <w:color w:val="666666"/>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66666"/>
          <w:spacing w:val="0"/>
          <w:w w:val="100"/>
          <w:position w:val="0"/>
          <w:shd w:val="clear" w:color="auto" w:fill="auto"/>
          <w:lang w:val="ru-RU" w:eastAsia="ru-RU" w:bidi="ru-RU"/>
        </w:rPr>
        <w:t xml:space="preserve">18.12.2023 </w:t>
      </w:r>
      <w:r>
        <w:rPr>
          <w:color w:val="262626"/>
          <w:spacing w:val="0"/>
          <w:w w:val="100"/>
          <w:position w:val="0"/>
          <w:shd w:val="clear" w:color="auto" w:fill="auto"/>
          <w:lang w:val="ru-RU" w:eastAsia="ru-RU" w:bidi="ru-RU"/>
        </w:rPr>
        <w:t xml:space="preserve">по </w:t>
      </w:r>
      <w:r>
        <w:rPr>
          <w:color w:val="666666"/>
          <w:spacing w:val="0"/>
          <w:w w:val="100"/>
          <w:position w:val="0"/>
          <w:shd w:val="clear" w:color="auto" w:fill="auto"/>
          <w:lang w:val="ru-RU" w:eastAsia="ru-RU" w:bidi="ru-RU"/>
        </w:rPr>
        <w:t>12.03.2025</w:t>
      </w:r>
    </w:p>
    <w:p>
      <w:pPr>
        <w:pStyle w:val="Style14"/>
        <w:keepNext w:val="0"/>
        <w:keepLines w:val="0"/>
        <w:widowControl w:val="0"/>
        <w:shd w:val="clear" w:color="auto" w:fill="auto"/>
        <w:bidi w:val="0"/>
        <w:spacing w:before="0" w:after="510" w:line="240" w:lineRule="auto"/>
        <w:ind w:left="1160" w:right="0" w:firstLine="0"/>
        <w:jc w:val="left"/>
      </w:pPr>
      <w:r>
        <w:drawing>
          <wp:anchor distT="0" distB="0" distL="114300" distR="1918970" simplePos="0" relativeHeight="125829384" behindDoc="0" locked="0" layoutInCell="1" allowOverlap="1">
            <wp:simplePos x="0" y="0"/>
            <wp:positionH relativeFrom="page">
              <wp:posOffset>3051810</wp:posOffset>
            </wp:positionH>
            <wp:positionV relativeFrom="paragraph">
              <wp:posOffset>165100</wp:posOffset>
            </wp:positionV>
            <wp:extent cx="311150" cy="365760"/>
            <wp:wrapSquare wrapText="right"/>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3444875</wp:posOffset>
                </wp:positionH>
                <wp:positionV relativeFrom="paragraph">
                  <wp:posOffset>234950</wp:posOffset>
                </wp:positionV>
                <wp:extent cx="1722120" cy="255905"/>
                <wp:wrapNone/>
                <wp:docPr id="24" name="Shape 24"/>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0" type="#_x0000_t202" style="position:absolute;margin-left:271.25pt;margin-top:18.5pt;width:135.59999999999999pt;height:20.150000000000002pt;z-index:251657737;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У.А. Апанащик</w:t>
      </w:r>
    </w:p>
    <w:p>
      <w:pPr>
        <w:pStyle w:val="Style23"/>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4400" w:right="0" w:firstLine="0"/>
        <w:jc w:val="left"/>
        <w:rPr>
          <w:sz w:val="11"/>
          <w:szCs w:val="11"/>
        </w:rPr>
      </w:pPr>
      <w:r>
        <w:rPr>
          <w:color w:val="EBEBEB"/>
          <w:spacing w:val="0"/>
          <w:w w:val="100"/>
          <w:position w:val="0"/>
          <w:sz w:val="11"/>
          <w:szCs w:val="11"/>
          <w:shd w:val="clear" w:color="auto" w:fill="auto"/>
          <w:lang w:val="ru-RU" w:eastAsia="ru-RU" w:bidi="ru-RU"/>
        </w:rPr>
        <w:t>СВЕДЕНИЯ О СЕРТИФИКАТЕ ЭП</w:t>
      </w:r>
    </w:p>
    <w:p>
      <w:pPr>
        <w:pStyle w:val="Style23"/>
        <w:keepNext w:val="0"/>
        <w:keepLines w:val="0"/>
        <w:widowControl w:val="0"/>
        <w:shd w:val="clear" w:color="auto" w:fill="auto"/>
        <w:bidi w:val="0"/>
        <w:spacing w:before="0" w:after="0" w:line="240" w:lineRule="auto"/>
        <w:ind w:left="3680"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666666"/>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Апанащик Ульяна Алексеевна</w:t>
      </w:r>
    </w:p>
    <w:p>
      <w:pPr>
        <w:pStyle w:val="Style23"/>
        <w:keepNext w:val="0"/>
        <w:keepLines w:val="0"/>
        <w:widowControl w:val="0"/>
        <w:shd w:val="clear" w:color="auto" w:fill="auto"/>
        <w:bidi w:val="0"/>
        <w:spacing w:before="0" w:after="0" w:line="240" w:lineRule="auto"/>
        <w:ind w:left="368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00СВ84С93Е9ОЕВ75С6О234В637ЕС6В5Е6</w:t>
      </w:r>
      <w:r>
        <w:rPr>
          <w:spacing w:val="0"/>
          <w:w w:val="100"/>
          <w:position w:val="0"/>
          <w:shd w:val="clear" w:color="auto" w:fill="auto"/>
          <w:lang w:val="ru-RU" w:eastAsia="ru-RU" w:bidi="ru-RU"/>
        </w:rPr>
        <w:t>:</w:t>
      </w:r>
    </w:p>
    <w:p>
      <w:pPr>
        <w:pStyle w:val="Style23"/>
        <w:keepNext w:val="0"/>
        <w:keepLines w:val="0"/>
        <w:widowControl w:val="0"/>
        <w:shd w:val="clear" w:color="auto" w:fill="auto"/>
        <w:bidi w:val="0"/>
        <w:spacing w:before="0" w:after="80" w:line="240" w:lineRule="auto"/>
        <w:ind w:left="3680" w:right="0" w:firstLine="0"/>
        <w:jc w:val="left"/>
      </w:pPr>
      <w:r>
        <w:rPr>
          <w:color w:val="666666"/>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66666"/>
          <w:spacing w:val="0"/>
          <w:w w:val="100"/>
          <w:position w:val="0"/>
          <w:shd w:val="clear" w:color="auto" w:fill="auto"/>
          <w:lang w:val="ru-RU" w:eastAsia="ru-RU" w:bidi="ru-RU"/>
        </w:rPr>
        <w:t xml:space="preserve">27.09.2023 по </w:t>
      </w:r>
      <w:r>
        <w:rPr>
          <w:spacing w:val="0"/>
          <w:w w:val="100"/>
          <w:position w:val="0"/>
          <w:shd w:val="clear" w:color="auto" w:fill="auto"/>
          <w:lang w:val="ru-RU" w:eastAsia="ru-RU" w:bidi="ru-RU"/>
        </w:rPr>
        <w:t>20.12.2024</w:t>
      </w:r>
    </w:p>
    <w:sectPr>
      <w:footnotePr>
        <w:pos w:val="pageBottom"/>
        <w:numFmt w:val="decimal"/>
        <w:numRestart w:val="continuous"/>
      </w:footnotePr>
      <w:type w:val="continuous"/>
      <w:pgSz w:w="11900" w:h="16840"/>
      <w:pgMar w:top="1105" w:right="541"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10013315</wp:posOffset>
              </wp:positionV>
              <wp:extent cx="648970" cy="100330"/>
              <wp:wrapNone/>
              <wp:docPr id="2" name="Shape 2"/>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2024-8789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050000000000004pt;margin-top:788.45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2024-8789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4" name="Shape 4"/>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2024-8789</w:t>
                          </w:r>
                        </w:p>
                      </w:txbxContent>
                    </wps:txbx>
                    <wps:bodyPr wrap="none" lIns="0" tIns="0" rIns="0" bIns="0">
                      <a:spAutoFit/>
                    </wps:bodyPr>
                  </wps:wsp>
                </a:graphicData>
              </a:graphic>
            </wp:anchor>
          </w:drawing>
        </mc:Choice>
        <mc:Fallback>
          <w:pict>
            <v:shape id="_x0000_s1030"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2024-8789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4"/>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5609E"/>
      <w:sz w:val="19"/>
      <w:szCs w:val="19"/>
      <w:u w:val="none"/>
    </w:rPr>
  </w:style>
  <w:style w:type="character" w:customStyle="1" w:styleId="CharStyle10">
    <w:name w:val="Заголовок №2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Основной текст (4)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Подпись к картинке_"/>
    <w:basedOn w:val="DefaultParagraphFont"/>
    <w:link w:val="Style16"/>
    <w:rPr>
      <w:rFonts w:ascii="Georgia" w:eastAsia="Georgia" w:hAnsi="Georgia" w:cs="Georgia"/>
      <w:b w:val="0"/>
      <w:bCs w:val="0"/>
      <w:i w:val="0"/>
      <w:iCs w:val="0"/>
      <w:smallCaps w:val="0"/>
      <w:strike w:val="0"/>
      <w:color w:val="262626"/>
      <w:sz w:val="11"/>
      <w:szCs w:val="11"/>
      <w:u w:val="non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w w:val="50"/>
      <w:sz w:val="36"/>
      <w:szCs w:val="36"/>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393939"/>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80" w:line="257" w:lineRule="auto"/>
      <w:jc w:val="center"/>
    </w:pPr>
    <w:rPr>
      <w:rFonts w:ascii="Times New Roman" w:eastAsia="Times New Roman" w:hAnsi="Times New Roman" w:cs="Times New Roman"/>
      <w:b/>
      <w:bCs/>
      <w:i w:val="0"/>
      <w:iCs w:val="0"/>
      <w:smallCaps w:val="0"/>
      <w:strike w:val="0"/>
      <w:color w:val="45609E"/>
      <w:sz w:val="19"/>
      <w:szCs w:val="19"/>
      <w:u w:val="none"/>
    </w:rPr>
  </w:style>
  <w:style w:type="paragraph" w:customStyle="1" w:styleId="Style9">
    <w:name w:val="Заголовок №2"/>
    <w:basedOn w:val="Normal"/>
    <w:link w:val="CharStyle10"/>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2">
    <w:name w:val="Основной текст (4)"/>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14">
    <w:name w:val="Основной текст"/>
    <w:basedOn w:val="Normal"/>
    <w:link w:val="CharStyle15"/>
    <w:pPr>
      <w:widowControl w:val="0"/>
      <w:shd w:val="clear" w:color="auto" w:fill="auto"/>
      <w:spacing w:line="360"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Подпись к картинке"/>
    <w:basedOn w:val="Normal"/>
    <w:link w:val="CharStyle17"/>
    <w:pPr>
      <w:widowControl w:val="0"/>
      <w:shd w:val="clear" w:color="auto" w:fill="auto"/>
    </w:pPr>
    <w:rPr>
      <w:rFonts w:ascii="Georgia" w:eastAsia="Georgia" w:hAnsi="Georgia" w:cs="Georgia"/>
      <w:b w:val="0"/>
      <w:bCs w:val="0"/>
      <w:i w:val="0"/>
      <w:iCs w:val="0"/>
      <w:smallCaps w:val="0"/>
      <w:strike w:val="0"/>
      <w:color w:val="262626"/>
      <w:sz w:val="11"/>
      <w:szCs w:val="11"/>
      <w:u w:val="none"/>
    </w:rPr>
  </w:style>
  <w:style w:type="paragraph" w:customStyle="1" w:styleId="Style19">
    <w:name w:val="Заголовок №1"/>
    <w:basedOn w:val="Normal"/>
    <w:link w:val="CharStyle20"/>
    <w:pPr>
      <w:widowControl w:val="0"/>
      <w:shd w:val="clear" w:color="auto" w:fill="auto"/>
      <w:spacing w:after="440"/>
      <w:outlineLvl w:val="0"/>
    </w:pPr>
    <w:rPr>
      <w:rFonts w:ascii="Arial" w:eastAsia="Arial" w:hAnsi="Arial" w:cs="Arial"/>
      <w:b w:val="0"/>
      <w:bCs w:val="0"/>
      <w:i w:val="0"/>
      <w:iCs w:val="0"/>
      <w:smallCaps w:val="0"/>
      <w:strike w:val="0"/>
      <w:w w:val="50"/>
      <w:sz w:val="36"/>
      <w:szCs w:val="36"/>
      <w:u w:val="none"/>
    </w:rPr>
  </w:style>
  <w:style w:type="paragraph" w:customStyle="1" w:styleId="Style23">
    <w:name w:val="Основной текст (2)"/>
    <w:basedOn w:val="Normal"/>
    <w:link w:val="CharStyle24"/>
    <w:pPr>
      <w:widowControl w:val="0"/>
      <w:shd w:val="clear" w:color="auto" w:fill="auto"/>
      <w:ind w:left="3620"/>
    </w:pPr>
    <w:rPr>
      <w:rFonts w:ascii="Arial" w:eastAsia="Arial" w:hAnsi="Arial" w:cs="Arial"/>
      <w:b w:val="0"/>
      <w:bCs w:val="0"/>
      <w:i w:val="0"/>
      <w:iCs w:val="0"/>
      <w:smallCaps w:val="0"/>
      <w:strike w:val="0"/>
      <w:color w:val="393939"/>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