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color w:val="476199"/>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b/>
          <w:bCs/>
          <w:color w:val="476199"/>
          <w:spacing w:val="0"/>
          <w:w w:val="100"/>
          <w:position w:val="0"/>
          <w:sz w:val="19"/>
          <w:szCs w:val="19"/>
          <w:shd w:val="clear" w:color="auto" w:fill="auto"/>
          <w:lang w:val="ru-RU" w:eastAsia="ru-RU" w:bidi="ru-RU"/>
        </w:rPr>
        <w:t>УПРАВЛЕНИЕ</w:t>
      </w:r>
    </w:p>
    <w:p>
      <w:pPr>
        <w:pStyle w:val="Style5"/>
        <w:keepNext w:val="0"/>
        <w:keepLines w:val="0"/>
        <w:widowControl w:val="0"/>
        <w:shd w:val="clear" w:color="auto" w:fill="auto"/>
        <w:bidi w:val="0"/>
        <w:spacing w:before="0" w:after="400" w:line="254" w:lineRule="auto"/>
        <w:ind w:left="0" w:right="0" w:firstLine="0"/>
        <w:jc w:val="center"/>
        <w:rPr>
          <w:sz w:val="19"/>
          <w:szCs w:val="19"/>
        </w:rPr>
      </w:pPr>
      <w:r>
        <w:rPr>
          <w:b/>
          <w:bCs/>
          <w:color w:val="476199"/>
          <w:spacing w:val="0"/>
          <w:w w:val="100"/>
          <w:position w:val="0"/>
          <w:sz w:val="19"/>
          <w:szCs w:val="19"/>
          <w:shd w:val="clear" w:color="auto" w:fill="auto"/>
          <w:lang w:val="ru-RU" w:eastAsia="ru-RU" w:bidi="ru-RU"/>
        </w:rPr>
        <w:t>Федеральной антимонопольной службы</w:t>
        <w:br/>
        <w:t>по Липецкой области</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color w:val="476199"/>
          <w:spacing w:val="0"/>
          <w:w w:val="100"/>
          <w:position w:val="0"/>
          <w:sz w:val="16"/>
          <w:szCs w:val="16"/>
          <w:shd w:val="clear" w:color="auto" w:fill="auto"/>
          <w:lang w:val="ru-RU" w:eastAsia="ru-RU" w:bidi="ru-RU"/>
        </w:rPr>
        <w:t>пл. Плеханова, 1, г. Липецк, 398050</w:t>
        <w:br/>
        <w:t>телефакс (4742) 27-14-82</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color w:val="476199"/>
          <w:spacing w:val="0"/>
          <w:w w:val="100"/>
          <w:position w:val="0"/>
          <w:sz w:val="16"/>
          <w:szCs w:val="16"/>
          <w:shd w:val="clear" w:color="auto" w:fill="auto"/>
          <w:lang w:val="ru-RU" w:eastAsia="ru-RU" w:bidi="ru-RU"/>
        </w:rPr>
        <w:t>е-таП: 1о48@Газ. §оу.ги 11йр://11ре1бк.Га8.доу.ги</w:t>
      </w:r>
    </w:p>
    <w:p>
      <w:pPr>
        <w:pStyle w:val="Style10"/>
        <w:keepNext w:val="0"/>
        <w:keepLines w:val="0"/>
        <w:widowControl w:val="0"/>
        <w:shd w:val="clear" w:color="auto" w:fill="auto"/>
        <w:tabs>
          <w:tab w:pos="1838" w:val="left"/>
        </w:tabs>
        <w:bidi w:val="0"/>
        <w:spacing w:before="0" w:after="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ИП/6287/2</w:t>
      </w:r>
      <w:r>
        <w:rPr>
          <w:color w:val="000000"/>
          <w:spacing w:val="0"/>
          <w:w w:val="100"/>
          <w:position w:val="0"/>
          <w:sz w:val="30"/>
          <w:szCs w:val="30"/>
          <w:shd w:val="clear" w:color="auto" w:fill="auto"/>
          <w:lang w:val="ru-RU" w:eastAsia="ru-RU" w:bidi="ru-RU"/>
        </w:rPr>
        <w:t>4</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Областное бюджетное учреждение «Информационно-технический центр» йс48@адт1г.Пре1;8к.ги,</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Н^ироVа8V@а4т1^.1^ре^8к.^и</w:t>
      </w:r>
    </w:p>
    <w:p>
      <w:pPr>
        <w:pStyle w:val="Style10"/>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15" w:bottom="1250" w:left="1140" w:header="0" w:footer="3" w:gutter="0"/>
          <w:pgNumType w:start="1"/>
          <w:cols w:num="2" w:space="720" w:equalWidth="0">
            <w:col w:w="4224" w:space="1042"/>
            <w:col w:w="4680"/>
          </w:cols>
          <w:noEndnote/>
          <w:titlePg/>
          <w:rtlGutter w:val="0"/>
          <w:docGrid w:linePitch="360"/>
        </w:sectPr>
      </w:pPr>
      <w:r>
        <w:rPr>
          <w:color w:val="000000"/>
          <w:spacing w:val="0"/>
          <w:w w:val="100"/>
          <w:position w:val="0"/>
          <w:shd w:val="clear" w:color="auto" w:fill="auto"/>
          <w:lang w:val="ru-RU" w:eastAsia="ru-RU" w:bidi="ru-RU"/>
        </w:rPr>
        <w:t>Индивидуальный предприниматель Пономарев Михаил Дмитриевич а9251655847@дтай.сот, 84957818171@тш1.ги</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pStyle w:val="Style14"/>
        <w:keepNext w:val="0"/>
        <w:keepLines w:val="0"/>
        <w:framePr w:w="4224" w:h="211" w:wrap="none" w:vAnchor="text" w:hAnchor="page" w:x="1141" w:y="21"/>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spacing w:line="360" w:lineRule="exact"/>
      </w:pPr>
      <w:r>
        <w:drawing>
          <wp:anchor distT="435610" distB="0" distL="3175" distR="85090" simplePos="0" relativeHeight="62914692" behindDoc="1" locked="0" layoutInCell="1" allowOverlap="1">
            <wp:simplePos x="0" y="0"/>
            <wp:positionH relativeFrom="page">
              <wp:posOffset>727075</wp:posOffset>
            </wp:positionH>
            <wp:positionV relativeFrom="paragraph">
              <wp:posOffset>448310</wp:posOffset>
            </wp:positionV>
            <wp:extent cx="2597150" cy="182880"/>
            <wp:wrapNone/>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2597150" cy="18288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284" w:right="536" w:bottom="1216" w:left="1101" w:header="0" w:footer="3" w:gutter="0"/>
          <w:cols w:space="720"/>
          <w:noEndnote/>
          <w:rtlGutter w:val="0"/>
          <w:docGrid w:linePitch="360"/>
        </w:sectPr>
      </w:pPr>
    </w:p>
    <w:p>
      <w:pPr>
        <w:widowControl w:val="0"/>
        <w:spacing w:line="240" w:lineRule="exact"/>
        <w:rPr>
          <w:sz w:val="19"/>
          <w:szCs w:val="19"/>
        </w:r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4" w:right="0" w:bottom="1220" w:left="0" w:header="0" w:footer="3" w:gutter="0"/>
          <w:cols w:space="720"/>
          <w:noEndnote/>
          <w:rtlGutter w:val="0"/>
          <w:docGrid w:linePitch="360"/>
        </w:sectPr>
      </w:pP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 048/06/106-874/2024</w:t>
      </w:r>
    </w:p>
    <w:p>
      <w:pPr>
        <w:pStyle w:val="Style10"/>
        <w:keepNext w:val="0"/>
        <w:keepLines w:val="0"/>
        <w:widowControl w:val="0"/>
        <w:shd w:val="clear" w:color="auto" w:fill="auto"/>
        <w:tabs>
          <w:tab w:pos="8851" w:val="left"/>
        </w:tabs>
        <w:bidi w:val="0"/>
        <w:spacing w:before="0" w:after="280" w:line="240" w:lineRule="auto"/>
        <w:ind w:left="0" w:right="0" w:firstLine="0"/>
        <w:jc w:val="both"/>
      </w:pPr>
      <w:r>
        <w:rPr>
          <w:color w:val="000000"/>
          <w:spacing w:val="0"/>
          <w:w w:val="100"/>
          <w:position w:val="0"/>
          <w:shd w:val="clear" w:color="auto" w:fill="auto"/>
          <w:lang w:val="ru-RU" w:eastAsia="ru-RU" w:bidi="ru-RU"/>
        </w:rPr>
        <w:t>«03» октября 2024 года</w:t>
        <w:tab/>
        <w:t>г. Липецк</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03.10.2024.</w:t>
      </w:r>
    </w:p>
    <w:p>
      <w:pPr>
        <w:pStyle w:val="Style10"/>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08.10.2024.</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 председатель Комиссии:</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И.В. Поткина - руководитель управления, заместитель председателя Комиссии:</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Т.Н. Ролдугина - начальник отдела контроля закупок и торгов,</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Т.С. Рябкова - зам. начальника отдела контроля закупок и торгов,</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 областного бюджетного учреждения «Информационно-технический центр» (далее также - заказчик): С.В. Хруповой, А.А. Никитина, О.С. Никитиной, П.В. Павлова (по доверенностям),</w:t>
      </w:r>
    </w:p>
    <w:p>
      <w:pPr>
        <w:pStyle w:val="Style10"/>
        <w:keepNext w:val="0"/>
        <w:keepLines w:val="0"/>
        <w:widowControl w:val="0"/>
        <w:shd w:val="clear" w:color="auto" w:fill="auto"/>
        <w:bidi w:val="0"/>
        <w:spacing w:before="0" w:after="620" w:line="240" w:lineRule="auto"/>
        <w:ind w:left="0" w:right="0" w:firstLine="600"/>
        <w:jc w:val="both"/>
      </w:pPr>
      <w:r>
        <w:rPr>
          <w:color w:val="000000"/>
          <w:spacing w:val="0"/>
          <w:w w:val="100"/>
          <w:position w:val="0"/>
          <w:shd w:val="clear" w:color="auto" w:fill="auto"/>
          <w:lang w:val="ru-RU" w:eastAsia="ru-RU" w:bidi="ru-RU"/>
        </w:rPr>
        <w:t>рассмотрев жалобу индивидуального предпринимателя Пономарева Михаила Дмитриевича на положения извещения о проведении электронного аукциона на поставку мультимедийного оборудования (реестровый номер 0346200017424000013) (далее - электронный аукцион), а также другие документы (копии), представленные сторонами, а также проведя внеплановую проверку в соответствии со ст.99 Закона о контрактной системе и на основании приказа Липецкого УФАС России,</w:t>
      </w:r>
    </w:p>
    <w:p>
      <w:pPr>
        <w:pStyle w:val="Style5"/>
        <w:keepNext w:val="0"/>
        <w:keepLines w:val="0"/>
        <w:widowControl w:val="0"/>
        <w:shd w:val="clear" w:color="auto" w:fill="auto"/>
        <w:bidi w:val="0"/>
        <w:spacing w:before="0" w:after="28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1111111111111111111111III</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ЕИС поступила жалоба индивидуального предпринимателя Пономарева Михаила Дмитриевича на положения извещения о проведении электронного аукциона.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рассмотрения жалобы размещены Липецким УФАС России в ЕИС. Также сторонам по электронной почте направлено уведомление о рассмотрении жалобы, в котором заявителю указано на необходимость предоставления в Липецкое УФАС России письменных пояснений о том, какие именно характеристики (положения извещения) свидетельствуют о несоответствии описанных заказчиком товаров товарам ни одного производителя или указывают на товар конкретного производителя.</w:t>
      </w:r>
    </w:p>
    <w:p>
      <w:pPr>
        <w:pStyle w:val="Style10"/>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Заявитель участие в заседании Комиссии не принял, запрошенную информацию не представил.</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жалобе заявителя приведены примеры проанализированных заявителем закупок и допускаемые заказчиками нарушения закона. Относительно нарушений областным бюджетным учреждением «Информационно-технический центр» требований закона при проведении рассматриваемого электронного аукциона из жалобы выделяются следующие доводы:</w:t>
      </w:r>
    </w:p>
    <w:p>
      <w:pPr>
        <w:pStyle w:val="Style10"/>
        <w:keepNext w:val="0"/>
        <w:keepLines w:val="0"/>
        <w:widowControl w:val="0"/>
        <w:numPr>
          <w:ilvl w:val="0"/>
          <w:numId w:val="1"/>
        </w:numPr>
        <w:shd w:val="clear" w:color="auto" w:fill="auto"/>
        <w:tabs>
          <w:tab w:pos="79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 требования заказчика в соответствии с паспортом изделия не подходит ни один товар и уж тем более отсутствуют на рынке 2 товара от разных производителей, которые в соответствии с паспортом подходили бы под описание объекта закупки,</w:t>
      </w:r>
    </w:p>
    <w:p>
      <w:pPr>
        <w:pStyle w:val="Style10"/>
        <w:keepNext w:val="0"/>
        <w:keepLines w:val="0"/>
        <w:widowControl w:val="0"/>
        <w:numPr>
          <w:ilvl w:val="0"/>
          <w:numId w:val="1"/>
        </w:numPr>
        <w:shd w:val="clear" w:color="auto" w:fill="auto"/>
        <w:tabs>
          <w:tab w:pos="8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требования к товару в описании объекта закупки противоречат характеристикам товаров, явившихся предметом при обосновании НМЦК,</w:t>
      </w:r>
    </w:p>
    <w:p>
      <w:pPr>
        <w:pStyle w:val="Style10"/>
        <w:keepNext w:val="0"/>
        <w:keepLines w:val="0"/>
        <w:widowControl w:val="0"/>
        <w:numPr>
          <w:ilvl w:val="0"/>
          <w:numId w:val="1"/>
        </w:numPr>
        <w:shd w:val="clear" w:color="auto" w:fill="auto"/>
        <w:tabs>
          <w:tab w:pos="79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включение характеристик, указывающих на избыточность потребительских свойств и характеристик товара,</w:t>
      </w:r>
    </w:p>
    <w:p>
      <w:pPr>
        <w:pStyle w:val="Style10"/>
        <w:keepNext w:val="0"/>
        <w:keepLines w:val="0"/>
        <w:widowControl w:val="0"/>
        <w:numPr>
          <w:ilvl w:val="0"/>
          <w:numId w:val="1"/>
        </w:numPr>
        <w:shd w:val="clear" w:color="auto" w:fill="auto"/>
        <w:tabs>
          <w:tab w:pos="8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 формирования технического задания объединены позиции из разных перечней - входящие в перечень по постановлению № 878 и в перечень по постановлению № 617. Согласно указанных постановлений не могут быть предметом одного контракта (одного лота) промышленные/радиоэлектронные товары, включенные в перечни и не включенные в него.</w:t>
      </w:r>
    </w:p>
    <w:p>
      <w:pPr>
        <w:pStyle w:val="Style10"/>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 xml:space="preserve">Представители заказчика не согласны с жалобой и сообщили, что заказчику требуется получить товары, которые будут в полной мере удовлетворять его потребности. Так, по позициям 1 и 2 заказчик описал товар, который не имеет аналогов. По остальным позициям заказчик, прорабатывая рынок, установил характеристики, соответствующие, как минимум, двум производителям. Коммерческие предложения были получены именно на товары, которые содержатся </w:t>
      </w:r>
      <w:r>
        <w:rPr>
          <w:color w:val="000000"/>
          <w:spacing w:val="0"/>
          <w:w w:val="100"/>
          <w:position w:val="0"/>
          <w:shd w:val="clear" w:color="auto" w:fill="auto"/>
          <w:lang w:val="ru-RU" w:eastAsia="ru-RU" w:bidi="ru-RU"/>
        </w:rPr>
        <w:t>в описании объекта закупки. Нарушения нормативных актов при формировании предмета закупки заказчик не допустил.</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Извещение о проведении электронного аукциона размещено в ЕИС 17.09.2024.</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Начальная (максимальная) цена контракта 2 176 435,08 рублей.</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 2 ч. 1 ст. 42 Закона о контрактной системе извещение об осуществлении закупки, если иное не предусмотрено настоящим Федеральным законом, должно содержать обоснование начальной (максимальной) цены контракта.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установлено, что указанное обоснование начальной (максимальной) цены контракта в виде отдельного электронного документа размещено в составе извещения о проведении электронного аукциона.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Следовательно, требования указанной нормы заказчиком соблюдены.</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в соответствии с ч. 8 ст. 99 Федерального закона от 05.04.2013 № 44-ФЗ "О контрактной системе в сфере закупок товаров, работ, услуг для обеспечения государственных и муниципальных нужд"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числе прочего,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части 3 данной нормы, антимонопольный орган осуществляет контроль в сфере закупок, за исключением контроля, предусмотренного частями 5, 8 и 10 настоящей статьи.</w:t>
      </w:r>
    </w:p>
    <w:p>
      <w:pPr>
        <w:pStyle w:val="Style10"/>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В связи с изложенным, у антимонопольного органа отсутствуют соответствующие полномочия по контролю за обоснованием начальной (максимальной) цены контракта.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 5 ч. 1 ст. 42 Закона о контрактной системе, в извещении об осуществлении закупки должно содержаться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 1 ч. 2 данной статьи определяет, что извещение о проведении закупки должно содержать электронный документы, в числе которых: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 7 Правил использования каталога в случае осуществления закупки </w:t>
      </w:r>
      <w:r>
        <w:rPr>
          <w:color w:val="000000"/>
          <w:spacing w:val="0"/>
          <w:w w:val="100"/>
          <w:position w:val="0"/>
          <w:shd w:val="clear" w:color="auto" w:fill="auto"/>
          <w:lang w:val="ru-RU" w:eastAsia="ru-RU" w:bidi="ru-RU"/>
        </w:rPr>
        <w:t>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0"/>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ru-RU" w:eastAsia="ru-RU" w:bidi="ru-RU"/>
        </w:rPr>
        <w:t>Установлено, что описание объекта закупки приведено заказчиком и с использованием ЕИС при формировании извещения об осуществлении закупки, и в виде отдельного электронного документа. При этом заказчик применил позиции КТРУ на товары:</w:t>
      </w:r>
    </w:p>
    <w:tbl>
      <w:tblPr>
        <w:tblOverlap w:val="never"/>
        <w:jc w:val="center"/>
        <w:tblLayout w:type="fixed"/>
      </w:tblPr>
      <w:tblGrid>
        <w:gridCol w:w="5362"/>
        <w:gridCol w:w="4608"/>
      </w:tblGrid>
      <w:tr>
        <w:trPr>
          <w:trHeight w:val="1066" w:hRule="exact"/>
        </w:trPr>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ТОВАРА, РАБОТЫ, УСЛУГИ</w:t>
            </w:r>
          </w:p>
        </w:tc>
        <w:tc>
          <w:tcPr>
            <w:tcBorders>
              <w:top w:val="single" w:sz="4"/>
              <w:left w:val="single" w:sz="4"/>
              <w:righ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460"/>
              <w:jc w:val="left"/>
              <w:rPr>
                <w:sz w:val="24"/>
                <w:szCs w:val="24"/>
              </w:rPr>
            </w:pPr>
            <w:r>
              <w:rPr>
                <w:color w:val="000000"/>
                <w:spacing w:val="0"/>
                <w:w w:val="100"/>
                <w:position w:val="0"/>
                <w:sz w:val="24"/>
                <w:szCs w:val="24"/>
                <w:shd w:val="clear" w:color="auto" w:fill="auto"/>
                <w:lang w:val="ru-RU" w:eastAsia="ru-RU" w:bidi="ru-RU"/>
              </w:rPr>
              <w:t>ЕД. ИЗМЕРЕНИЯ</w:t>
            </w:r>
          </w:p>
        </w:tc>
      </w:tr>
      <w:tr>
        <w:trPr>
          <w:trHeight w:val="1042"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26.40.31.190</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26.40.31.190-00000003</w:t>
            </w:r>
          </w:p>
        </w:tc>
        <w:tc>
          <w:tcPr>
            <w:tcBorders>
              <w:top w:val="single" w:sz="4"/>
              <w:left w:val="single" w:sz="4"/>
              <w:righ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Микшерный пульт</w:t>
            </w:r>
          </w:p>
        </w:tc>
      </w:tr>
      <w:tr>
        <w:trPr>
          <w:trHeight w:val="1042"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26.40.31.190</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26.40.31.190-00000029</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Радиосистема</w:t>
            </w:r>
          </w:p>
        </w:tc>
      </w:tr>
      <w:tr>
        <w:trPr>
          <w:trHeight w:val="1042"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26.40.31.190</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26.40.31.190-00000029</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Радиосистема</w:t>
            </w:r>
          </w:p>
        </w:tc>
      </w:tr>
      <w:tr>
        <w:trPr>
          <w:trHeight w:val="1046"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26.40.20.122</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26.40.20.122-00000004</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Телевизор</w:t>
            </w:r>
          </w:p>
        </w:tc>
      </w:tr>
      <w:tr>
        <w:trPr>
          <w:trHeight w:val="1042"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26.40.20.122</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26.40.20.122-00000004</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Телевизор</w:t>
            </w:r>
          </w:p>
        </w:tc>
      </w:tr>
      <w:tr>
        <w:trPr>
          <w:trHeight w:val="1042"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26.40.33.110</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26.40.33.110-00000009</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Видеокамера</w:t>
            </w:r>
          </w:p>
        </w:tc>
      </w:tr>
      <w:tr>
        <w:trPr>
          <w:trHeight w:val="1042"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26.70.11.110</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26.70.11.110-00000004</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Объектив</w:t>
            </w:r>
          </w:p>
        </w:tc>
      </w:tr>
      <w:tr>
        <w:trPr>
          <w:trHeight w:val="1046" w:hRule="exact"/>
        </w:trPr>
        <w:tc>
          <w:tcPr>
            <w:tcBorders>
              <w:top w:val="single" w:sz="4"/>
              <w:left w:val="single" w:sz="4"/>
              <w:bottom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26.20.17.110</w:t>
            </w:r>
          </w:p>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u w:val="single"/>
                <w:shd w:val="clear" w:color="auto" w:fill="auto"/>
                <w:lang w:val="ru-RU" w:eastAsia="ru-RU" w:bidi="ru-RU"/>
              </w:rPr>
              <w:t>26.20.17.110-00000007</w:t>
            </w:r>
          </w:p>
        </w:tc>
        <w:tc>
          <w:tcPr>
            <w:tcBorders>
              <w:top w:val="single" w:sz="4"/>
              <w:left w:val="single" w:sz="4"/>
              <w:bottom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Монитор, подключаемый к компьютеру</w:t>
            </w:r>
          </w:p>
        </w:tc>
      </w:tr>
    </w:tbl>
    <w:p>
      <w:pPr>
        <w:spacing w:lineRule="exact" w:line="1"/>
        <w:rPr>
          <w:sz w:val="2"/>
          <w:szCs w:val="2"/>
        </w:rPr>
      </w:pPr>
      <w:r>
        <w:br w:type="page"/>
      </w:r>
    </w:p>
    <w:p>
      <w:pPr>
        <w:pStyle w:val="Style5"/>
        <w:keepNext w:val="0"/>
        <w:keepLines w:val="0"/>
        <w:widowControl w:val="0"/>
        <w:shd w:val="clear" w:color="auto" w:fill="auto"/>
        <w:bidi w:val="0"/>
        <w:spacing w:before="0" w:after="480" w:line="240" w:lineRule="auto"/>
        <w:ind w:left="0" w:right="500" w:firstLine="0"/>
        <w:jc w:val="right"/>
        <w:rPr>
          <w:sz w:val="24"/>
          <w:szCs w:val="24"/>
        </w:rPr>
      </w:pPr>
      <w:r>
        <mc:AlternateContent>
          <mc:Choice Requires="wps">
            <w:drawing>
              <wp:anchor distT="0" distB="0" distL="114300" distR="114300" simplePos="0" relativeHeight="125829378" behindDoc="0" locked="0" layoutInCell="1" allowOverlap="1">
                <wp:simplePos x="0" y="0"/>
                <wp:positionH relativeFrom="page">
                  <wp:posOffset>897890</wp:posOffset>
                </wp:positionH>
                <wp:positionV relativeFrom="paragraph">
                  <wp:posOffset>12700</wp:posOffset>
                </wp:positionV>
                <wp:extent cx="1484630" cy="393065"/>
                <wp:wrapSquare wrapText="right"/>
                <wp:docPr id="6" name="Shape 6"/>
                <a:graphic xmlns:a="http://schemas.openxmlformats.org/drawingml/2006/main">
                  <a:graphicData uri="http://schemas.microsoft.com/office/word/2010/wordprocessingShape">
                    <wps:wsp>
                      <wps:cNvSpPr txBox="1"/>
                      <wps:spPr>
                        <a:xfrm>
                          <a:ext cx="1484630" cy="3930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26.20.17.110</w:t>
                            </w:r>
                          </w:p>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u w:val="single"/>
                                <w:shd w:val="clear" w:color="auto" w:fill="auto"/>
                                <w:lang w:val="ru-RU" w:eastAsia="ru-RU" w:bidi="ru-RU"/>
                              </w:rPr>
                              <w:t>26.20.17.110-00000026</w:t>
                            </w:r>
                          </w:p>
                        </w:txbxContent>
                      </wps:txbx>
                      <wps:bodyPr lIns="0" tIns="0" rIns="0" bIns="0">
                        <a:noAutoFit/>
                      </wps:bodyPr>
                    </wps:wsp>
                  </a:graphicData>
                </a:graphic>
              </wp:anchor>
            </w:drawing>
          </mc:Choice>
          <mc:Fallback>
            <w:pict>
              <v:shape id="_x0000_s1032" type="#_x0000_t202" style="position:absolute;margin-left:70.700000000000003pt;margin-top:1.pt;width:116.90000000000001pt;height:30.949999999999999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26.20.17.110</w:t>
                      </w:r>
                    </w:p>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u w:val="single"/>
                          <w:shd w:val="clear" w:color="auto" w:fill="auto"/>
                          <w:lang w:val="ru-RU" w:eastAsia="ru-RU" w:bidi="ru-RU"/>
                        </w:rPr>
                        <w:t>26.20.17.110-00000026</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Монитор, подключаемый к компьютеру</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данном случае заказчиком установлено ограничение допуска отдельных видов радиоэлектронной продукции, происходящей из иностранных государств в соответствии с постановлением Правительства Российской Федерации К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Пунктом 5 Правил использования каталога предусмотрено,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К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К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3"/>
        </w:numPr>
        <w:shd w:val="clear" w:color="auto" w:fill="auto"/>
        <w:tabs>
          <w:tab w:pos="93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наименование товара, работы, услуги;</w:t>
      </w:r>
    </w:p>
    <w:p>
      <w:pPr>
        <w:pStyle w:val="Style10"/>
        <w:keepNext w:val="0"/>
        <w:keepLines w:val="0"/>
        <w:widowControl w:val="0"/>
        <w:numPr>
          <w:ilvl w:val="0"/>
          <w:numId w:val="3"/>
        </w:numPr>
        <w:shd w:val="clear" w:color="auto" w:fill="auto"/>
        <w:tabs>
          <w:tab w:pos="90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3"/>
        </w:numPr>
        <w:shd w:val="clear" w:color="auto" w:fill="auto"/>
        <w:tabs>
          <w:tab w:pos="92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Проанализировав приведенное заказчиком описание объекта закупки по указанным товарам, Комиссией установлено, что заказчик включил в описание объекта закупки характеристики, которые предусмотрены в соответствующих позициях КТРУ. Никаких дополнительных характеристик заказчик не установил.</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заказчик, действуя в рамках требований п. 4 Правил использования каталога, не может считаться нарушившим правила описания объекта закупки.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заказчиком представлены сравнительные характеристики по указанным выше товарам, соответствующие товарам двух производителей.</w:t>
      </w:r>
    </w:p>
    <w:p>
      <w:pPr>
        <w:pStyle w:val="Style10"/>
        <w:keepNext w:val="0"/>
        <w:keepLines w:val="0"/>
        <w:widowControl w:val="0"/>
        <w:shd w:val="clear" w:color="auto" w:fill="auto"/>
        <w:bidi w:val="0"/>
        <w:spacing w:before="0" w:after="380" w:line="240" w:lineRule="auto"/>
        <w:ind w:left="0" w:right="0" w:firstLine="580"/>
        <w:jc w:val="both"/>
      </w:pPr>
      <w:r>
        <w:rPr>
          <w:color w:val="000000"/>
          <w:spacing w:val="0"/>
          <w:w w:val="100"/>
          <w:position w:val="0"/>
          <w:shd w:val="clear" w:color="auto" w:fill="auto"/>
          <w:lang w:val="ru-RU" w:eastAsia="ru-RU" w:bidi="ru-RU"/>
        </w:rPr>
        <w:t>С учетом представленных заказчиком сведений о соответствии приобретаемых товаров товарам разных производителей, а также применения им соответствующих позиций КТРУ без установления дополнительных характеристик, Комиссия приходит к выводу об отсутствии нарушений при описании объекта закупки по рассмотренным позициям описания.</w:t>
      </w:r>
    </w:p>
    <w:p>
      <w:pPr>
        <w:pStyle w:val="Style21"/>
        <w:keepNext w:val="0"/>
        <w:keepLines w:val="0"/>
        <w:widowControl w:val="0"/>
        <w:shd w:val="clear" w:color="auto" w:fill="auto"/>
        <w:tabs>
          <w:tab w:leader="underscore" w:pos="7704"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Также, установлено, что часть товаров описана заказчиком без применения </w:t>
      </w:r>
      <w:r>
        <w:rPr>
          <w:color w:val="000000"/>
          <w:spacing w:val="0"/>
          <w:w w:val="100"/>
          <w:position w:val="0"/>
          <w:u w:val="single"/>
          <w:shd w:val="clear" w:color="auto" w:fill="auto"/>
          <w:lang w:val="ru-RU" w:eastAsia="ru-RU" w:bidi="ru-RU"/>
        </w:rPr>
        <w:t>позиций КТРУ, а именно:</w:t>
      </w:r>
      <w:r>
        <w:rPr>
          <w:color w:val="000000"/>
          <w:spacing w:val="0"/>
          <w:w w:val="100"/>
          <w:position w:val="0"/>
          <w:shd w:val="clear" w:color="auto" w:fill="auto"/>
          <w:lang w:val="ru-RU" w:eastAsia="ru-RU" w:bidi="ru-RU"/>
        </w:rPr>
        <w:tab/>
      </w:r>
    </w:p>
    <w:tbl>
      <w:tblPr>
        <w:tblOverlap w:val="never"/>
        <w:jc w:val="center"/>
        <w:tblLayout w:type="fixed"/>
      </w:tblPr>
      <w:tblGrid>
        <w:gridCol w:w="2938"/>
        <w:gridCol w:w="4781"/>
      </w:tblGrid>
      <w:tr>
        <w:trPr>
          <w:trHeight w:val="1325"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240" w:right="0" w:firstLine="0"/>
              <w:jc w:val="left"/>
              <w:rPr>
                <w:sz w:val="24"/>
                <w:szCs w:val="24"/>
              </w:rPr>
            </w:pPr>
            <w:r>
              <w:rPr>
                <w:color w:val="000000"/>
                <w:spacing w:val="0"/>
                <w:w w:val="100"/>
                <w:position w:val="0"/>
                <w:sz w:val="24"/>
                <w:szCs w:val="24"/>
                <w:shd w:val="clear" w:color="auto" w:fill="auto"/>
                <w:lang w:val="ru-RU" w:eastAsia="ru-RU" w:bidi="ru-RU"/>
              </w:rPr>
              <w:t>НАИМЕНОВАНИЕ ТОВАРА, РАБОТЫ, УСЛУГИ</w:t>
            </w:r>
          </w:p>
        </w:tc>
        <w:tc>
          <w:tcPr>
            <w:tcBorders>
              <w:top w:val="single" w:sz="4"/>
              <w:left w:val="single" w:sz="4"/>
              <w:righ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ЕД. ИЗМЕРЕНИЯ</w:t>
            </w:r>
          </w:p>
        </w:tc>
      </w:tr>
      <w:tr>
        <w:trPr>
          <w:trHeight w:val="773" w:hRule="exact"/>
        </w:trPr>
        <w:tc>
          <w:tcPr>
            <w:tcBorders>
              <w:top w:val="single" w:sz="4"/>
              <w:left w:val="single" w:sz="4"/>
              <w:bottom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26.40.43.110</w:t>
            </w:r>
          </w:p>
        </w:tc>
        <w:tc>
          <w:tcPr>
            <w:tcBorders>
              <w:top w:val="single" w:sz="4"/>
              <w:left w:val="single" w:sz="4"/>
              <w:bottom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Активный ди-бокс</w:t>
            </w:r>
          </w:p>
        </w:tc>
      </w:tr>
    </w:tbl>
    <w:p>
      <w:pPr>
        <w:widowControl w:val="0"/>
        <w:spacing w:line="1" w:lineRule="exact"/>
      </w:pPr>
    </w:p>
    <w:tbl>
      <w:tblPr>
        <w:tblOverlap w:val="never"/>
        <w:jc w:val="left"/>
        <w:tblLayout w:type="fixed"/>
      </w:tblPr>
      <w:tblGrid>
        <w:gridCol w:w="2942"/>
        <w:gridCol w:w="4781"/>
      </w:tblGrid>
      <w:tr>
        <w:trPr>
          <w:trHeight w:val="1008" w:hRule="exact"/>
        </w:trPr>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26.40.33.199</w:t>
            </w:r>
          </w:p>
        </w:tc>
        <w:tc>
          <w:tcPr>
            <w:tcBorders>
              <w:top w:val="single" w:sz="4"/>
              <w:left w:val="single" w:sz="4"/>
              <w:righ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Видеомикшер</w:t>
            </w:r>
          </w:p>
        </w:tc>
      </w:tr>
      <w:tr>
        <w:trPr>
          <w:trHeight w:val="778" w:hRule="exact"/>
        </w:trPr>
        <w:tc>
          <w:tcPr>
            <w:tcBorders>
              <w:top w:val="single" w:sz="4"/>
              <w:left w:val="single" w:sz="4"/>
              <w:bottom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26.30.11.129</w:t>
            </w:r>
          </w:p>
        </w:tc>
        <w:tc>
          <w:tcPr>
            <w:tcBorders>
              <w:top w:val="single" w:sz="4"/>
              <w:left w:val="single" w:sz="4"/>
              <w:bottom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Система беспроводной передачи видео</w:t>
            </w:r>
          </w:p>
        </w:tc>
      </w:tr>
    </w:tbl>
    <w:p>
      <w:pPr>
        <w:widowControl w:val="0"/>
        <w:spacing w:after="279" w:line="1" w:lineRule="exact"/>
      </w:pP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представленным заказчиком сведениям под приведенное им описание товара «Система беспроводной передачи видео» подходят товары двух производителем.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«Активный ди-бокс» и «Видеомикшер», которые по основным параметрам подходят для исполнения функций, возложенных на заказчика, заказчик смог соотнести лишь с товаром одного производителя.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Комиссии представители заказчика указали, что обозначенные товары не содержатся в КТРУ. При этом заказчик пояснил, что никаких излишних или неисполнимых требований к данным товарам он не установил. Описанные товары можно купить в любом интернет-магазине.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Исходя из положений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1).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 44-ФЗ,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w:t>
      </w:r>
      <w:r>
        <w:rPr>
          <w:color w:val="000000"/>
          <w:spacing w:val="0"/>
          <w:w w:val="100"/>
          <w:position w:val="0"/>
          <w:u w:val="single"/>
          <w:shd w:val="clear" w:color="auto" w:fill="auto"/>
          <w:lang w:val="ru-RU" w:eastAsia="ru-RU" w:bidi="ru-RU"/>
        </w:rPr>
        <w:t>которые влекут за собой ограничение количества участников закупки</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 буквального толкования вышеуказанной нормы следует, что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чтобы, с одной стороны, обеспечить приобретение товара именно с такими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По общему правилу 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w:t>
      </w:r>
      <w:r>
        <w:rPr>
          <w:color w:val="000000"/>
          <w:spacing w:val="0"/>
          <w:w w:val="100"/>
          <w:position w:val="0"/>
          <w:shd w:val="clear" w:color="auto" w:fill="auto"/>
          <w:lang w:val="ru-RU" w:eastAsia="ru-RU" w:bidi="ru-RU"/>
        </w:rPr>
        <w:t xml:space="preserve">потенциальных участников закупки. Вместе с тем включение заказчиком в аукционную документацию требований к закупаемому товару, которые свидетельствуют о его конкретном производителе, </w:t>
      </w:r>
      <w:r>
        <w:rPr>
          <w:color w:val="000000"/>
          <w:spacing w:val="0"/>
          <w:w w:val="100"/>
          <w:position w:val="0"/>
          <w:u w:val="single"/>
          <w:shd w:val="clear" w:color="auto" w:fill="auto"/>
          <w:lang w:val="ru-RU" w:eastAsia="ru-RU" w:bidi="ru-RU"/>
        </w:rPr>
        <w:t>в отсутствие специфики использования такого товара</w:t>
      </w:r>
      <w:r>
        <w:rPr>
          <w:color w:val="000000"/>
          <w:spacing w:val="0"/>
          <w:w w:val="100"/>
          <w:position w:val="0"/>
          <w:shd w:val="clear" w:color="auto" w:fill="auto"/>
          <w:lang w:val="ru-RU" w:eastAsia="ru-RU" w:bidi="ru-RU"/>
        </w:rPr>
        <w:t>, является нарушением положений статьи 33 Закона № 44-ФЗ (пункты 1 и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Исходя из того, что предмет закупки сформулирован в соответствии с требованиями законодательства о контрактной системе, а указание в описании объекта закупки особых характеристик товара, которые отвечают его потребностям и необходимы заказчику с учетом специфики использования товара, не может рассматриваться как ограничение потенциальных участников закупки.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Следует отметить, что предметом аукциона являлась поставка, а не изготовление товара, в связи с чем отсутствие у общества товара, запрашиваемого заказчиком, не свидетельствует о невозможности его приобретения заявителем в целях участия в аукционе.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учтено, что на участие в электронном аукционе поступило 3 заявки, содержащие предложения о поставке товаров, соответствующих по всем характеристикам требованиям заказчика.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 учетом изложенного, поскольку установлена объективность описания предмета закупки, отсутствие факта ограничения количества участников, нарушение заказчиком требований статьи 33 Закона о контрактной системе не усмотрено.</w:t>
      </w:r>
    </w:p>
    <w:p>
      <w:pPr>
        <w:pStyle w:val="Style25"/>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В силу части 4 статьи 106 Закона о контрактной системе, обязанность доказывания нарушения заказчиком прав и законных интересов участника закупки лежит на подателе жалобы.</w:t>
      </w:r>
      <w:bookmarkEnd w:id="0"/>
    </w:p>
    <w:p>
      <w:pPr>
        <w:pStyle w:val="Style25"/>
        <w:keepNext/>
        <w:keepLines/>
        <w:widowControl w:val="0"/>
        <w:shd w:val="clear" w:color="auto" w:fill="auto"/>
        <w:bidi w:val="0"/>
        <w:spacing w:before="0" w:after="280" w:line="240" w:lineRule="auto"/>
        <w:ind w:left="0" w:right="0"/>
        <w:jc w:val="both"/>
      </w:pPr>
      <w:bookmarkStart w:id="2" w:name="bookmark2"/>
      <w:r>
        <w:rPr>
          <w:color w:val="000000"/>
          <w:spacing w:val="0"/>
          <w:w w:val="100"/>
          <w:position w:val="0"/>
          <w:shd w:val="clear" w:color="auto" w:fill="auto"/>
          <w:lang w:val="ru-RU" w:eastAsia="ru-RU" w:bidi="ru-RU"/>
        </w:rPr>
        <w:t>Однако на заседание Комиссии заявитель не явился и не представил документов и сведений, подтверждающих невозможность приобретения им товара, соответствующего требованиям извещения о проведении закупки, в том числе не представлены упоминаемые в жалобе паспорта изделий.</w:t>
      </w:r>
      <w:bookmarkEnd w:id="2"/>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Российской Федерации от 30.04.2020 К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К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1 Постановления К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Коды ОКПД2 26.40.31.190 «Аппаратура для воспроизведения звука прочая», 26.40.43.110 «Усилители электрические звуковых частот» в указанный Перечень не входят.</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Постановлением Правительства Российской Федерации К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Министерство Финансов Российской Федерации в своем письме К 24-06- 06/47217 от 24.05.2023 разъясняет порядок установления ограничений на допуск иностранных товаров при закупках радиоэлектронной продукции с кодами ОКПД 2 26.40.42.110, 26.40.43.120 и 26.40.31.190.</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указанному письму Министерства Финансов Российской Федерации, ограничения допуска, предусмотренные Постановлением К 617, устанавливаются только при закупке товаров, включенных в Перечень К 617.</w:t>
      </w:r>
    </w:p>
    <w:p>
      <w:pPr>
        <w:pStyle w:val="Style25"/>
        <w:keepNext/>
        <w:keepLines/>
        <w:widowControl w:val="0"/>
        <w:shd w:val="clear" w:color="auto" w:fill="auto"/>
        <w:bidi w:val="0"/>
        <w:spacing w:before="0" w:after="0" w:line="240" w:lineRule="auto"/>
        <w:ind w:left="0" w:right="0" w:firstLine="560"/>
        <w:jc w:val="both"/>
      </w:pPr>
      <w:bookmarkStart w:id="4" w:name="bookmark4"/>
      <w:r>
        <w:rPr>
          <w:color w:val="000000"/>
          <w:spacing w:val="0"/>
          <w:w w:val="100"/>
          <w:position w:val="0"/>
          <w:shd w:val="clear" w:color="auto" w:fill="auto"/>
          <w:lang w:val="ru-RU" w:eastAsia="ru-RU" w:bidi="ru-RU"/>
        </w:rPr>
        <w:t>Учитывая, что позиции товара с кодами ОКПД 2 26.40.42.110, 26.40.43.120, 26.40.31.190 не включены в Перечень К 617, в отношении указанных товаров ограничения допуска в соответствии с Постановлением К 617 не устанавливаются.</w:t>
      </w:r>
      <w:bookmarkEnd w:id="4"/>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Необходимо отметить, что звуковое оборудование с кодами ОКПД 2 26.40.42.110, 26.40.43.110, 26.40.43.120 и 26.40.31.190 содержится в перечне производственных групп музыкальных инструментов и звукового оборудования, являющемся приложением к Постановлению К 617.</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6 Постановления К 617 музыкальные инструменты и звуковое оборудование, входящие в различные производственные группы по перечню согласно приложению к данному постановлению, а также другие отдельные виды промышленных товаров не могут быть предметом одного контракта (одного лота).</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указанные производственные группы сформированы в целях формирования предмета контракта (лота).</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изложенного, Комиссия, принимая во внимание, позицию Министерства Финансов Российской Федерации, изложенную в письме К 24-06- 06/47217 от 24.05.2023, с учетом определенного заказчиком объекта закупки, приходит к выводу, что ограничения допуска отдельных видов промышленных товаров согласно Постановлению К 617 правомерно не установлены.</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Изучив положения извещения установлено, что все позиции описания объекта закупки входят в Перечень, утвержденный Постановлением К 878, которое применено заказчиком.</w:t>
      </w:r>
    </w:p>
    <w:p>
      <w:pPr>
        <w:pStyle w:val="Style10"/>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Руководствуясь ст.ст. 99, 105, 106 Закона о контрактной системе, Комиссия</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0"/>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1. Признать жалобу индивидуального предпринимателя Пономарева Михаила Дмитриевича на положения извещения о проведении электронного аукциона на поставку мультимедийного оборудования (реестровый номер 0346200017424000013) необоснованной.</w:t>
      </w:r>
      <w:r>
        <w:br w:type="page"/>
      </w:r>
    </w:p>
    <w:p>
      <w:pPr>
        <w:pStyle w:val="Style10"/>
        <w:keepNext w:val="0"/>
        <w:keepLines w:val="0"/>
        <w:widowControl w:val="0"/>
        <w:shd w:val="clear" w:color="auto" w:fill="auto"/>
        <w:bidi w:val="0"/>
        <w:spacing w:before="0" w:after="0" w:line="240" w:lineRule="auto"/>
        <w:ind w:left="0" w:right="0" w:firstLine="580"/>
        <w:jc w:val="left"/>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дня его вынесения.</w:t>
      </w:r>
    </w:p>
    <w:p>
      <w:pPr>
        <w:widowControl w:val="0"/>
        <w:spacing w:line="1" w:lineRule="exact"/>
        <w:sectPr>
          <w:footnotePr>
            <w:pos w:val="pageBottom"/>
            <w:numFmt w:val="decimal"/>
            <w:numRestart w:val="continuous"/>
          </w:footnotePr>
          <w:type w:val="continuous"/>
          <w:pgSz w:w="11900" w:h="16840"/>
          <w:pgMar w:top="314" w:right="533" w:bottom="1220" w:left="1100" w:header="0" w:footer="3" w:gutter="0"/>
          <w:cols w:space="720"/>
          <w:noEndnote/>
          <w:rtlGutter w:val="0"/>
          <w:docGrid w:linePitch="360"/>
        </w:sectPr>
      </w:pPr>
      <w:r>
        <mc:AlternateContent>
          <mc:Choice Requires="wps">
            <w:drawing>
              <wp:anchor distT="279400" distB="170180" distL="0" distR="0" simplePos="0" relativeHeight="125829380" behindDoc="0" locked="0" layoutInCell="1" allowOverlap="1">
                <wp:simplePos x="0" y="0"/>
                <wp:positionH relativeFrom="page">
                  <wp:posOffset>741045</wp:posOffset>
                </wp:positionH>
                <wp:positionV relativeFrom="paragraph">
                  <wp:posOffset>279400</wp:posOffset>
                </wp:positionV>
                <wp:extent cx="1871345" cy="250190"/>
                <wp:wrapTopAndBottom/>
                <wp:docPr id="8" name="Shape 8"/>
                <a:graphic xmlns:a="http://schemas.openxmlformats.org/drawingml/2006/main">
                  <a:graphicData uri="http://schemas.microsoft.com/office/word/2010/wordprocessingShape">
                    <wps:wsp>
                      <wps:cNvSpPr txBox="1"/>
                      <wps:spPr>
                        <a:xfrm>
                          <a:ext cx="187134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350000000000001pt;margin-top:22.pt;width:147.34999999999999pt;height:19.699999999999999pt;z-index:-125829373;mso-wrap-distance-left:0;mso-wrap-distance-top:22.pt;mso-wrap-distance-right:0;mso-wrap-distance-bottom:13.4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40690" distB="0" distL="0" distR="0" simplePos="0" relativeHeight="125829382" behindDoc="0" locked="0" layoutInCell="1" allowOverlap="1">
                <wp:simplePos x="0" y="0"/>
                <wp:positionH relativeFrom="page">
                  <wp:posOffset>3206750</wp:posOffset>
                </wp:positionH>
                <wp:positionV relativeFrom="paragraph">
                  <wp:posOffset>440690</wp:posOffset>
                </wp:positionV>
                <wp:extent cx="1725295" cy="259080"/>
                <wp:wrapTopAndBottom/>
                <wp:docPr id="10" name="Shape 10"/>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5"/>
                              <w:keepNext w:val="0"/>
                              <w:keepLines w:val="0"/>
                              <w:widowControl w:val="0"/>
                              <w:shd w:val="clear" w:color="auto" w:fill="auto"/>
                              <w:bidi w:val="0"/>
                              <w:spacing w:before="0" w:after="0" w:line="218" w:lineRule="auto"/>
                              <w:ind w:left="0" w:right="0" w:firstLine="0"/>
                              <w:jc w:val="left"/>
                              <w:rPr>
                                <w:sz w:val="12"/>
                                <w:szCs w:val="12"/>
                              </w:rPr>
                            </w:pPr>
                            <w:r>
                              <w:rPr>
                                <w:color w:val="292929"/>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92929"/>
                                <w:spacing w:val="0"/>
                                <w:w w:val="100"/>
                                <w:position w:val="0"/>
                                <w:sz w:val="12"/>
                                <w:szCs w:val="12"/>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52.5pt;margin-top:34.700000000000003pt;width:135.84999999999999pt;height:20.400000000000002pt;z-index:-125829371;mso-wrap-distance-left:0;mso-wrap-distance-top:34.700000000000003pt;mso-wrap-distance-right:0;mso-position-horizontal-relative:page" filled="f" stroked="f">
                <v:textbox inset="0,0,0,0">
                  <w:txbxContent>
                    <w:p>
                      <w:pPr>
                        <w:pStyle w:val="Style5"/>
                        <w:keepNext w:val="0"/>
                        <w:keepLines w:val="0"/>
                        <w:widowControl w:val="0"/>
                        <w:shd w:val="clear" w:color="auto" w:fill="auto"/>
                        <w:bidi w:val="0"/>
                        <w:spacing w:before="0" w:after="0" w:line="218" w:lineRule="auto"/>
                        <w:ind w:left="0" w:right="0" w:firstLine="0"/>
                        <w:jc w:val="left"/>
                        <w:rPr>
                          <w:sz w:val="12"/>
                          <w:szCs w:val="12"/>
                        </w:rPr>
                      </w:pPr>
                      <w:r>
                        <w:rPr>
                          <w:color w:val="292929"/>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92929"/>
                          <w:spacing w:val="0"/>
                          <w:w w:val="100"/>
                          <w:position w:val="0"/>
                          <w:sz w:val="12"/>
                          <w:szCs w:val="12"/>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70180" distL="0" distR="0" simplePos="0" relativeHeight="125829384" behindDoc="0" locked="0" layoutInCell="1" allowOverlap="1">
                <wp:simplePos x="0" y="0"/>
                <wp:positionH relativeFrom="page">
                  <wp:posOffset>6132830</wp:posOffset>
                </wp:positionH>
                <wp:positionV relativeFrom="paragraph">
                  <wp:posOffset>279400</wp:posOffset>
                </wp:positionV>
                <wp:extent cx="1063625" cy="250190"/>
                <wp:wrapTopAndBottom/>
                <wp:docPr id="12" name="Shape 12"/>
                <a:graphic xmlns:a="http://schemas.openxmlformats.org/drawingml/2006/main">
                  <a:graphicData uri="http://schemas.microsoft.com/office/word/2010/wordprocessingShape">
                    <wps:wsp>
                      <wps:cNvSpPr txBox="1"/>
                      <wps:spPr>
                        <a:xfrm>
                          <a:ext cx="106362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8" type="#_x0000_t202" style="position:absolute;margin-left:482.90000000000003pt;margin-top:22.pt;width:83.75pt;height:19.699999999999999pt;z-index:-125829369;mso-wrap-distance-left:0;mso-wrap-distance-top:22.pt;mso-wrap-distance-right:0;mso-wrap-distance-bottom:13.4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p>
      <w:pPr>
        <w:pStyle w:val="Style5"/>
        <w:keepNext w:val="0"/>
        <w:keepLines w:val="0"/>
        <w:widowControl w:val="0"/>
        <w:shd w:val="clear" w:color="auto" w:fill="auto"/>
        <w:bidi w:val="0"/>
        <w:spacing w:before="0" w:after="0" w:line="240" w:lineRule="auto"/>
        <w:ind w:left="3300" w:right="0" w:firstLine="0"/>
        <w:jc w:val="left"/>
        <w:rPr>
          <w:sz w:val="12"/>
          <w:szCs w:val="12"/>
        </w:rPr>
      </w:pPr>
      <w:r>
        <w:rPr>
          <w:rFonts w:ascii="Arial" w:eastAsia="Arial" w:hAnsi="Arial" w:cs="Arial"/>
          <w:color w:val="676767"/>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2"/>
          <w:szCs w:val="12"/>
          <w:shd w:val="clear" w:color="auto" w:fill="auto"/>
          <w:lang w:val="ru-RU" w:eastAsia="ru-RU" w:bidi="ru-RU"/>
        </w:rPr>
        <w:t>Поткина Ирина Владимировна</w:t>
      </w:r>
    </w:p>
    <w:p>
      <w:pPr>
        <w:pStyle w:val="Style5"/>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color w:val="29292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92929"/>
          <w:spacing w:val="0"/>
          <w:w w:val="100"/>
          <w:position w:val="0"/>
          <w:sz w:val="12"/>
          <w:szCs w:val="12"/>
          <w:shd w:val="clear" w:color="auto" w:fill="auto"/>
          <w:lang w:val="ru-RU" w:eastAsia="ru-RU" w:bidi="ru-RU"/>
        </w:rPr>
        <w:t>75ВВВ61С51608АВЕ1АА67874Е2Е2Э9Е9</w:t>
      </w:r>
    </w:p>
    <w:p>
      <w:pPr>
        <w:pStyle w:val="Style5"/>
        <w:keepNext w:val="0"/>
        <w:keepLines w:val="0"/>
        <w:widowControl w:val="0"/>
        <w:shd w:val="clear" w:color="auto" w:fill="auto"/>
        <w:bidi w:val="0"/>
        <w:spacing w:before="0" w:after="0" w:line="240" w:lineRule="auto"/>
        <w:ind w:left="3300" w:right="0" w:firstLine="0"/>
        <w:jc w:val="left"/>
        <w:rPr>
          <w:sz w:val="12"/>
          <w:szCs w:val="12"/>
        </w:rPr>
      </w:pPr>
      <w:r>
        <w:rPr>
          <w:rFonts w:ascii="Arial" w:eastAsia="Arial" w:hAnsi="Arial" w:cs="Arial"/>
          <w:color w:val="676767"/>
          <w:spacing w:val="0"/>
          <w:w w:val="100"/>
          <w:position w:val="0"/>
          <w:sz w:val="12"/>
          <w:szCs w:val="12"/>
          <w:shd w:val="clear" w:color="auto" w:fill="auto"/>
          <w:lang w:val="ru-RU" w:eastAsia="ru-RU" w:bidi="ru-RU"/>
        </w:rPr>
        <w:t xml:space="preserve">Действителен </w:t>
      </w:r>
      <w:r>
        <w:rPr>
          <w:rFonts w:ascii="Arial" w:eastAsia="Arial" w:hAnsi="Arial" w:cs="Arial"/>
          <w:color w:val="292929"/>
          <w:spacing w:val="0"/>
          <w:w w:val="100"/>
          <w:position w:val="0"/>
          <w:sz w:val="12"/>
          <w:szCs w:val="12"/>
          <w:shd w:val="clear" w:color="auto" w:fill="auto"/>
          <w:lang w:val="ru-RU" w:eastAsia="ru-RU" w:bidi="ru-RU"/>
        </w:rPr>
        <w:t xml:space="preserve">с 03.10.2023 </w:t>
      </w:r>
      <w:r>
        <w:rPr>
          <w:rFonts w:ascii="Arial" w:eastAsia="Arial" w:hAnsi="Arial" w:cs="Arial"/>
          <w:color w:val="676767"/>
          <w:spacing w:val="0"/>
          <w:w w:val="100"/>
          <w:position w:val="0"/>
          <w:sz w:val="12"/>
          <w:szCs w:val="12"/>
          <w:shd w:val="clear" w:color="auto" w:fill="auto"/>
          <w:lang w:val="ru-RU" w:eastAsia="ru-RU" w:bidi="ru-RU"/>
        </w:rPr>
        <w:t>по 26.12.2024</w:t>
      </w:r>
    </w:p>
    <w:p>
      <w:pPr>
        <w:widowControl w:val="0"/>
        <w:spacing w:line="1" w:lineRule="exact"/>
        <w:sectPr>
          <w:footnotePr>
            <w:pos w:val="pageBottom"/>
            <w:numFmt w:val="decimal"/>
            <w:numRestart w:val="continuous"/>
          </w:footnotePr>
          <w:type w:val="continuous"/>
          <w:pgSz w:w="11900" w:h="16840"/>
          <w:pgMar w:top="1105" w:right="560" w:bottom="9291" w:left="1111" w:header="0" w:footer="3" w:gutter="0"/>
          <w:cols w:space="720"/>
          <w:noEndnote/>
          <w:rtlGutter w:val="0"/>
          <w:docGrid w:linePitch="360"/>
        </w:sectPr>
      </w:pPr>
      <w:r>
        <mc:AlternateContent>
          <mc:Choice Requires="wps">
            <w:drawing>
              <wp:anchor distT="88900" distB="0" distL="0" distR="0" simplePos="0" relativeHeight="125829386" behindDoc="0" locked="0" layoutInCell="1" allowOverlap="1">
                <wp:simplePos x="0" y="0"/>
                <wp:positionH relativeFrom="page">
                  <wp:posOffset>741045</wp:posOffset>
                </wp:positionH>
                <wp:positionV relativeFrom="paragraph">
                  <wp:posOffset>88900</wp:posOffset>
                </wp:positionV>
                <wp:extent cx="1402080" cy="457200"/>
                <wp:wrapTopAndBottom/>
                <wp:docPr id="14" name="Shape 14"/>
                <a:graphic xmlns:a="http://schemas.openxmlformats.org/drawingml/2006/main">
                  <a:graphicData uri="http://schemas.microsoft.com/office/word/2010/wordprocessingShape">
                    <wps:wsp>
                      <wps:cNvSpPr txBox="1"/>
                      <wps:spPr>
                        <a:xfrm>
                          <a:ext cx="1402080" cy="4572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txbxContent>
                      </wps:txbx>
                      <wps:bodyPr lIns="0" tIns="0" rIns="0" bIns="0">
                        <a:noAutoFit/>
                      </wps:bodyPr>
                    </wps:wsp>
                  </a:graphicData>
                </a:graphic>
              </wp:anchor>
            </w:drawing>
          </mc:Choice>
          <mc:Fallback>
            <w:pict>
              <v:shape id="_x0000_s1040" type="#_x0000_t202" style="position:absolute;margin-left:58.350000000000001pt;margin-top:7.pt;width:110.40000000000001pt;height:36.pt;z-index:-125829367;mso-wrap-distance-left:0;mso-wrap-distance-top:7.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txbxContent>
                </v:textbox>
                <w10:wrap type="topAndBottom" anchorx="page"/>
              </v:shape>
            </w:pict>
          </mc:Fallback>
        </mc:AlternateContent>
      </w:r>
      <w:r>
        <mc:AlternateContent>
          <mc:Choice Requires="wps">
            <w:drawing>
              <wp:anchor distT="253365" distB="36830" distL="0" distR="0" simplePos="0" relativeHeight="125829388" behindDoc="0" locked="0" layoutInCell="1" allowOverlap="1">
                <wp:simplePos x="0" y="0"/>
                <wp:positionH relativeFrom="page">
                  <wp:posOffset>3206750</wp:posOffset>
                </wp:positionH>
                <wp:positionV relativeFrom="paragraph">
                  <wp:posOffset>253365</wp:posOffset>
                </wp:positionV>
                <wp:extent cx="1725295" cy="255905"/>
                <wp:wrapTopAndBottom/>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5"/>
                              <w:keepNext w:val="0"/>
                              <w:keepLines w:val="0"/>
                              <w:widowControl w:val="0"/>
                              <w:shd w:val="clear" w:color="auto" w:fill="auto"/>
                              <w:bidi w:val="0"/>
                              <w:spacing w:before="0" w:after="0" w:line="218" w:lineRule="auto"/>
                              <w:ind w:left="0" w:right="0" w:firstLine="0"/>
                              <w:jc w:val="left"/>
                              <w:rPr>
                                <w:sz w:val="12"/>
                                <w:szCs w:val="12"/>
                              </w:rPr>
                            </w:pPr>
                            <w:r>
                              <w:rPr>
                                <w:color w:val="292929"/>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52.5pt;margin-top:19.949999999999999pt;width:135.84999999999999pt;height:20.150000000000002pt;z-index:-125829365;mso-wrap-distance-left:0;mso-wrap-distance-top:19.949999999999999pt;mso-wrap-distance-right:0;mso-wrap-distance-bottom:2.8999999999999999pt;mso-position-horizontal-relative:page" filled="f" stroked="f">
                <v:textbox inset="0,0,0,0">
                  <w:txbxContent>
                    <w:p>
                      <w:pPr>
                        <w:pStyle w:val="Style5"/>
                        <w:keepNext w:val="0"/>
                        <w:keepLines w:val="0"/>
                        <w:widowControl w:val="0"/>
                        <w:shd w:val="clear" w:color="auto" w:fill="auto"/>
                        <w:bidi w:val="0"/>
                        <w:spacing w:before="0" w:after="0" w:line="218" w:lineRule="auto"/>
                        <w:ind w:left="0" w:right="0" w:firstLine="0"/>
                        <w:jc w:val="left"/>
                        <w:rPr>
                          <w:sz w:val="12"/>
                          <w:szCs w:val="12"/>
                        </w:rPr>
                      </w:pPr>
                      <w:r>
                        <w:rPr>
                          <w:color w:val="292929"/>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8900" distB="204470" distL="0" distR="0" simplePos="0" relativeHeight="125829390" behindDoc="0" locked="0" layoutInCell="1" allowOverlap="1">
                <wp:simplePos x="0" y="0"/>
                <wp:positionH relativeFrom="page">
                  <wp:posOffset>6022975</wp:posOffset>
                </wp:positionH>
                <wp:positionV relativeFrom="paragraph">
                  <wp:posOffset>88900</wp:posOffset>
                </wp:positionV>
                <wp:extent cx="1173480" cy="252730"/>
                <wp:wrapTopAndBottom/>
                <wp:docPr id="18" name="Shape 18"/>
                <a:graphic xmlns:a="http://schemas.openxmlformats.org/drawingml/2006/main">
                  <a:graphicData uri="http://schemas.microsoft.com/office/word/2010/wordprocessingShape">
                    <wps:wsp>
                      <wps:cNvSpPr txBox="1"/>
                      <wps:spPr>
                        <a:xfrm>
                          <a:ext cx="117348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4" type="#_x0000_t202" style="position:absolute;margin-left:474.25pt;margin-top:7.pt;width:92.400000000000006pt;height:19.900000000000002pt;z-index:-125829363;mso-wrap-distance-left:0;mso-wrap-distance-top:7.pt;mso-wrap-distance-right:0;mso-wrap-distance-bottom:16.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topAndBottom" anchorx="page"/>
              </v:shape>
            </w:pict>
          </mc:Fallback>
        </mc:AlternateContent>
      </w:r>
    </w:p>
    <w:p>
      <w:pPr>
        <w:pStyle w:val="Style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400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5"/>
        <w:keepNext w:val="0"/>
        <w:keepLines w:val="0"/>
        <w:widowControl w:val="0"/>
        <w:shd w:val="clear" w:color="auto" w:fill="auto"/>
        <w:bidi w:val="0"/>
        <w:spacing w:before="0" w:after="0" w:line="240" w:lineRule="auto"/>
        <w:ind w:left="3300" w:right="0" w:firstLine="0"/>
        <w:jc w:val="left"/>
        <w:rPr>
          <w:sz w:val="12"/>
          <w:szCs w:val="12"/>
        </w:rPr>
      </w:pPr>
      <w:r>
        <w:rPr>
          <w:rFonts w:ascii="Arial" w:eastAsia="Arial" w:hAnsi="Arial" w:cs="Arial"/>
          <w:color w:val="676767"/>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2"/>
          <w:szCs w:val="12"/>
          <w:shd w:val="clear" w:color="auto" w:fill="auto"/>
          <w:lang w:val="ru-RU" w:eastAsia="ru-RU" w:bidi="ru-RU"/>
        </w:rPr>
        <w:t>Ролдугина Татьяна Николаевна</w:t>
      </w:r>
    </w:p>
    <w:p>
      <w:pPr>
        <w:pStyle w:val="Style5"/>
        <w:keepNext w:val="0"/>
        <w:keepLines w:val="0"/>
        <w:widowControl w:val="0"/>
        <w:shd w:val="clear" w:color="auto" w:fill="auto"/>
        <w:bidi w:val="0"/>
        <w:spacing w:before="0" w:after="0" w:line="240" w:lineRule="auto"/>
        <w:ind w:left="3300" w:right="0" w:firstLine="0"/>
        <w:jc w:val="left"/>
        <w:rPr>
          <w:sz w:val="12"/>
          <w:szCs w:val="12"/>
        </w:rPr>
      </w:pPr>
      <w:r>
        <w:rPr>
          <w:rFonts w:ascii="Arial" w:eastAsia="Arial" w:hAnsi="Arial" w:cs="Arial"/>
          <w:color w:val="29292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76767"/>
          <w:spacing w:val="0"/>
          <w:w w:val="100"/>
          <w:position w:val="0"/>
          <w:sz w:val="12"/>
          <w:szCs w:val="12"/>
          <w:shd w:val="clear" w:color="auto" w:fill="auto"/>
          <w:lang w:val="ru-RU" w:eastAsia="ru-RU" w:bidi="ru-RU"/>
        </w:rPr>
        <w:t>610Е27024ВЕВ34А450198В5А4464784Е</w:t>
      </w:r>
    </w:p>
    <w:p>
      <w:pPr>
        <w:pStyle w:val="Style5"/>
        <w:keepNext w:val="0"/>
        <w:keepLines w:val="0"/>
        <w:widowControl w:val="0"/>
        <w:shd w:val="clear" w:color="auto" w:fill="auto"/>
        <w:bidi w:val="0"/>
        <w:spacing w:before="0" w:after="540" w:line="240" w:lineRule="auto"/>
        <w:ind w:left="3300" w:right="0" w:firstLine="0"/>
        <w:jc w:val="left"/>
        <w:rPr>
          <w:sz w:val="12"/>
          <w:szCs w:val="12"/>
        </w:rPr>
      </w:pPr>
      <w:r>
        <mc:AlternateContent>
          <mc:Choice Requires="wps">
            <w:drawing>
              <wp:anchor distT="0" distB="213360" distL="63500" distR="1197610" simplePos="0" relativeHeight="125829392" behindDoc="0" locked="0" layoutInCell="1" allowOverlap="1">
                <wp:simplePos x="0" y="0"/>
                <wp:positionH relativeFrom="page">
                  <wp:posOffset>741045</wp:posOffset>
                </wp:positionH>
                <wp:positionV relativeFrom="paragraph">
                  <wp:posOffset>266700</wp:posOffset>
                </wp:positionV>
                <wp:extent cx="1258570" cy="250190"/>
                <wp:wrapSquare wrapText="right"/>
                <wp:docPr id="20" name="Shape 20"/>
                <a:graphic xmlns:a="http://schemas.openxmlformats.org/drawingml/2006/main">
                  <a:graphicData uri="http://schemas.microsoft.com/office/word/2010/wordprocessingShape">
                    <wps:wsp>
                      <wps:cNvSpPr txBox="1"/>
                      <wps:spPr>
                        <a:xfrm>
                          <a:ext cx="125857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6" type="#_x0000_t202" style="position:absolute;margin-left:58.350000000000001pt;margin-top:21.pt;width:99.100000000000009pt;height:19.699999999999999pt;z-index:-125829361;mso-wrap-distance-left:5.pt;mso-wrap-distance-right:94.299999999999997pt;mso-wrap-distance-bottom:16.8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square" side="right" anchorx="page"/>
              </v:shape>
            </w:pict>
          </mc:Fallback>
        </mc:AlternateContent>
      </w:r>
      <w:r>
        <w:drawing>
          <wp:anchor distT="79375" distB="0" distL="2127250" distR="63500" simplePos="0" relativeHeight="125829394" behindDoc="0" locked="0" layoutInCell="1" allowOverlap="1">
            <wp:simplePos x="0" y="0"/>
            <wp:positionH relativeFrom="page">
              <wp:posOffset>2804795</wp:posOffset>
            </wp:positionH>
            <wp:positionV relativeFrom="paragraph">
              <wp:posOffset>346075</wp:posOffset>
            </wp:positionV>
            <wp:extent cx="328930" cy="38417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1"/>
                    <a:stretch/>
                  </pic:blipFill>
                  <pic:spPr>
                    <a:xfrm>
                      <a:ext cx="328930" cy="384175"/>
                    </a:xfrm>
                    <a:prstGeom prst="rect"/>
                  </pic:spPr>
                </pic:pic>
              </a:graphicData>
            </a:graphic>
          </wp:anchor>
        </w:drawing>
      </w:r>
      <w:r>
        <mc:AlternateContent>
          <mc:Choice Requires="wps">
            <w:drawing>
              <wp:anchor distT="0" distB="0" distL="114300" distR="114300" simplePos="0" relativeHeight="125829395" behindDoc="0" locked="0" layoutInCell="1" allowOverlap="1">
                <wp:simplePos x="0" y="0"/>
                <wp:positionH relativeFrom="page">
                  <wp:posOffset>6233795</wp:posOffset>
                </wp:positionH>
                <wp:positionV relativeFrom="paragraph">
                  <wp:posOffset>266700</wp:posOffset>
                </wp:positionV>
                <wp:extent cx="963295" cy="250190"/>
                <wp:wrapSquare wrapText="left"/>
                <wp:docPr id="24" name="Shape 24"/>
                <a:graphic xmlns:a="http://schemas.openxmlformats.org/drawingml/2006/main">
                  <a:graphicData uri="http://schemas.microsoft.com/office/word/2010/wordprocessingShape">
                    <wps:wsp>
                      <wps:cNvSpPr txBox="1"/>
                      <wps:spPr>
                        <a:xfrm>
                          <a:ext cx="96329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Т.С. Рябкова</w:t>
                            </w:r>
                          </w:p>
                        </w:txbxContent>
                      </wps:txbx>
                      <wps:bodyPr wrap="none" lIns="0" tIns="0" rIns="0" bIns="0">
                        <a:noAutoFit/>
                      </wps:bodyPr>
                    </wps:wsp>
                  </a:graphicData>
                </a:graphic>
              </wp:anchor>
            </w:drawing>
          </mc:Choice>
          <mc:Fallback>
            <w:pict>
              <v:shape id="_x0000_s1050" type="#_x0000_t202" style="position:absolute;margin-left:490.85000000000002pt;margin-top:21.pt;width:75.850000000000009pt;height:19.699999999999999pt;z-index:-125829358;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Т.С. Рябкова</w:t>
                      </w:r>
                    </w:p>
                  </w:txbxContent>
                </v:textbox>
                <w10:wrap type="square" side="left" anchorx="page"/>
              </v:shape>
            </w:pict>
          </mc:Fallback>
        </mc:AlternateContent>
      </w:r>
      <w:r>
        <w:rPr>
          <w:rFonts w:ascii="Arial" w:eastAsia="Arial" w:hAnsi="Arial" w:cs="Arial"/>
          <w:color w:val="676767"/>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18.03.2024 </w:t>
      </w:r>
      <w:r>
        <w:rPr>
          <w:rFonts w:ascii="Arial" w:eastAsia="Arial" w:hAnsi="Arial" w:cs="Arial"/>
          <w:color w:val="838383"/>
          <w:spacing w:val="0"/>
          <w:w w:val="100"/>
          <w:position w:val="0"/>
          <w:sz w:val="12"/>
          <w:szCs w:val="12"/>
          <w:shd w:val="clear" w:color="auto" w:fill="auto"/>
          <w:lang w:val="ru-RU" w:eastAsia="ru-RU" w:bidi="ru-RU"/>
        </w:rPr>
        <w:t xml:space="preserve">по </w:t>
      </w:r>
      <w:r>
        <w:rPr>
          <w:rFonts w:ascii="Arial" w:eastAsia="Arial" w:hAnsi="Arial" w:cs="Arial"/>
          <w:color w:val="676767"/>
          <w:spacing w:val="0"/>
          <w:w w:val="100"/>
          <w:position w:val="0"/>
          <w:sz w:val="12"/>
          <w:szCs w:val="12"/>
          <w:shd w:val="clear" w:color="auto" w:fill="auto"/>
          <w:lang w:val="ru-RU" w:eastAsia="ru-RU" w:bidi="ru-RU"/>
        </w:rPr>
        <w:t>11.06.2025</w:t>
      </w:r>
    </w:p>
    <w:p>
      <w:pPr>
        <w:pStyle w:val="Style5"/>
        <w:keepNext w:val="0"/>
        <w:keepLines w:val="0"/>
        <w:widowControl w:val="0"/>
        <w:shd w:val="clear" w:color="auto" w:fill="auto"/>
        <w:bidi w:val="0"/>
        <w:spacing w:before="0" w:after="95" w:line="214" w:lineRule="auto"/>
        <w:ind w:left="0" w:right="0" w:firstLine="0"/>
        <w:jc w:val="left"/>
        <w:rPr>
          <w:sz w:val="12"/>
          <w:szCs w:val="12"/>
        </w:rPr>
      </w:pPr>
      <w:r>
        <w:rPr>
          <w:color w:val="292929"/>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92929"/>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00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5"/>
        <w:keepNext w:val="0"/>
        <w:keepLines w:val="0"/>
        <w:widowControl w:val="0"/>
        <w:shd w:val="clear" w:color="auto" w:fill="auto"/>
        <w:bidi w:val="0"/>
        <w:spacing w:before="0" w:after="0" w:line="240" w:lineRule="auto"/>
        <w:ind w:left="3300" w:right="0" w:firstLine="0"/>
        <w:jc w:val="left"/>
        <w:rPr>
          <w:sz w:val="12"/>
          <w:szCs w:val="12"/>
        </w:rPr>
      </w:pPr>
      <w:r>
        <w:rPr>
          <w:rFonts w:ascii="Arial" w:eastAsia="Arial" w:hAnsi="Arial" w:cs="Arial"/>
          <w:color w:val="676767"/>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2"/>
          <w:szCs w:val="12"/>
          <w:shd w:val="clear" w:color="auto" w:fill="auto"/>
          <w:lang w:val="ru-RU" w:eastAsia="ru-RU" w:bidi="ru-RU"/>
        </w:rPr>
        <w:t>Рябкова Татьяна Сергеевна</w:t>
      </w:r>
    </w:p>
    <w:p>
      <w:pPr>
        <w:pStyle w:val="Style5"/>
        <w:keepNext w:val="0"/>
        <w:keepLines w:val="0"/>
        <w:widowControl w:val="0"/>
        <w:shd w:val="clear" w:color="auto" w:fill="auto"/>
        <w:bidi w:val="0"/>
        <w:spacing w:before="0" w:after="0" w:line="240" w:lineRule="auto"/>
        <w:ind w:left="3300" w:right="0" w:firstLine="0"/>
        <w:jc w:val="left"/>
        <w:rPr>
          <w:sz w:val="12"/>
          <w:szCs w:val="12"/>
        </w:rPr>
      </w:pPr>
      <w:r>
        <w:rPr>
          <w:rFonts w:ascii="Arial" w:eastAsia="Arial" w:hAnsi="Arial" w:cs="Arial"/>
          <w:color w:val="29292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76767"/>
          <w:spacing w:val="0"/>
          <w:w w:val="100"/>
          <w:position w:val="0"/>
          <w:sz w:val="12"/>
          <w:szCs w:val="12"/>
          <w:shd w:val="clear" w:color="auto" w:fill="auto"/>
          <w:lang w:val="ru-RU" w:eastAsia="ru-RU" w:bidi="ru-RU"/>
        </w:rPr>
        <w:t>4ЕАС8ВЗА6В79491</w:t>
      </w:r>
      <w:r>
        <w:rPr>
          <w:rFonts w:ascii="Arial" w:eastAsia="Arial" w:hAnsi="Arial" w:cs="Arial"/>
          <w:color w:val="292929"/>
          <w:spacing w:val="0"/>
          <w:w w:val="100"/>
          <w:position w:val="0"/>
          <w:sz w:val="12"/>
          <w:szCs w:val="12"/>
          <w:shd w:val="clear" w:color="auto" w:fill="auto"/>
          <w:lang w:val="ru-RU" w:eastAsia="ru-RU" w:bidi="ru-RU"/>
        </w:rPr>
        <w:t>ЗВЕЗОС1Ю87С737Е2</w:t>
      </w:r>
    </w:p>
    <w:p>
      <w:pPr>
        <w:pStyle w:val="Style5"/>
        <w:keepNext w:val="0"/>
        <w:keepLines w:val="0"/>
        <w:widowControl w:val="0"/>
        <w:shd w:val="clear" w:color="auto" w:fill="auto"/>
        <w:bidi w:val="0"/>
        <w:spacing w:before="0" w:after="60" w:line="240" w:lineRule="auto"/>
        <w:ind w:left="3300" w:right="0" w:firstLine="0"/>
        <w:jc w:val="left"/>
        <w:rPr>
          <w:sz w:val="12"/>
          <w:szCs w:val="12"/>
        </w:rPr>
      </w:pPr>
      <w:r>
        <w:rPr>
          <w:rFonts w:ascii="Arial" w:eastAsia="Arial" w:hAnsi="Arial" w:cs="Arial"/>
          <w:color w:val="676767"/>
          <w:spacing w:val="0"/>
          <w:w w:val="100"/>
          <w:position w:val="0"/>
          <w:sz w:val="12"/>
          <w:szCs w:val="12"/>
          <w:shd w:val="clear" w:color="auto" w:fill="auto"/>
          <w:lang w:val="ru-RU" w:eastAsia="ru-RU" w:bidi="ru-RU"/>
        </w:rPr>
        <w:t xml:space="preserve">Действителен </w:t>
      </w:r>
      <w:r>
        <w:rPr>
          <w:rFonts w:ascii="Arial" w:eastAsia="Arial" w:hAnsi="Arial" w:cs="Arial"/>
          <w:color w:val="292929"/>
          <w:spacing w:val="0"/>
          <w:w w:val="100"/>
          <w:position w:val="0"/>
          <w:sz w:val="12"/>
          <w:szCs w:val="12"/>
          <w:shd w:val="clear" w:color="auto" w:fill="auto"/>
          <w:lang w:val="ru-RU" w:eastAsia="ru-RU" w:bidi="ru-RU"/>
        </w:rPr>
        <w:t xml:space="preserve">с 19.03.2024 </w:t>
      </w:r>
      <w:r>
        <w:rPr>
          <w:rFonts w:ascii="Arial" w:eastAsia="Arial" w:hAnsi="Arial" w:cs="Arial"/>
          <w:color w:val="676767"/>
          <w:spacing w:val="0"/>
          <w:w w:val="100"/>
          <w:position w:val="0"/>
          <w:sz w:val="12"/>
          <w:szCs w:val="12"/>
          <w:shd w:val="clear" w:color="auto" w:fill="auto"/>
          <w:lang w:val="ru-RU" w:eastAsia="ru-RU" w:bidi="ru-RU"/>
        </w:rPr>
        <w:t>по 12.06.2025</w:t>
      </w:r>
    </w:p>
    <w:sectPr>
      <w:footnotePr>
        <w:pos w:val="pageBottom"/>
        <w:numFmt w:val="decimal"/>
        <w:numRestart w:val="continuous"/>
      </w:footnotePr>
      <w:type w:val="continuous"/>
      <w:pgSz w:w="11900" w:h="16840"/>
      <w:pgMar w:top="1105" w:right="560"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2024-8486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2024-8486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Другое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476199"/>
      <w:sz w:val="18"/>
      <w:szCs w:val="18"/>
      <w:u w:val="none"/>
    </w:rPr>
  </w:style>
  <w:style w:type="character" w:customStyle="1" w:styleId="CharStyle22">
    <w:name w:val="Подпись к таблице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Заголовок №1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Другое"/>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66" w:lineRule="auto"/>
    </w:pPr>
    <w:rPr>
      <w:rFonts w:ascii="Times New Roman" w:eastAsia="Times New Roman" w:hAnsi="Times New Roman" w:cs="Times New Roman"/>
      <w:b w:val="0"/>
      <w:bCs w:val="0"/>
      <w:i w:val="0"/>
      <w:iCs w:val="0"/>
      <w:smallCaps w:val="0"/>
      <w:strike w:val="0"/>
      <w:color w:val="476199"/>
      <w:sz w:val="18"/>
      <w:szCs w:val="18"/>
      <w:u w:val="none"/>
    </w:rPr>
  </w:style>
  <w:style w:type="paragraph" w:customStyle="1" w:styleId="Style21">
    <w:name w:val="Подпись к таблице"/>
    <w:basedOn w:val="Normal"/>
    <w:link w:val="CharStyle22"/>
    <w:pPr>
      <w:widowControl w:val="0"/>
      <w:shd w:val="clear" w:color="auto" w:fill="auto"/>
      <w:ind w:firstLine="58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Заголовок №1"/>
    <w:basedOn w:val="Normal"/>
    <w:link w:val="CharStyle26"/>
    <w:pPr>
      <w:widowControl w:val="0"/>
      <w:shd w:val="clear" w:color="auto" w:fill="auto"/>
      <w:ind w:firstLine="720"/>
      <w:outlineLvl w:val="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