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2648585" distL="1165860" distR="1126490" simplePos="0" relativeHeight="125829378" behindDoc="0" locked="0" layoutInCell="1" allowOverlap="1">
            <wp:simplePos x="0" y="0"/>
            <wp:positionH relativeFrom="page">
              <wp:posOffset>1776730</wp:posOffset>
            </wp:positionH>
            <wp:positionV relativeFrom="paragraph">
              <wp:posOffset>12700</wp:posOffset>
            </wp:positionV>
            <wp:extent cx="536575" cy="61595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15950"/>
                    </a:xfrm>
                    <a:prstGeom prst="rect"/>
                  </pic:spPr>
                </pic:pic>
              </a:graphicData>
            </a:graphic>
          </wp:anchor>
        </w:drawing>
      </w:r>
      <w:r>
        <mc:AlternateContent>
          <mc:Choice Requires="wps">
            <w:drawing>
              <wp:anchor distT="716280" distB="792480" distL="114300" distR="132715" simplePos="0" relativeHeight="125829379" behindDoc="0" locked="0" layoutInCell="1" allowOverlap="1">
                <wp:simplePos x="0" y="0"/>
                <wp:positionH relativeFrom="page">
                  <wp:posOffset>725170</wp:posOffset>
                </wp:positionH>
                <wp:positionV relativeFrom="paragraph">
                  <wp:posOffset>728980</wp:posOffset>
                </wp:positionV>
                <wp:extent cx="2578735" cy="1752600"/>
                <wp:wrapSquare wrapText="right"/>
                <wp:docPr id="3" name="Shape 3"/>
                <a:graphic xmlns:a="http://schemas.openxmlformats.org/drawingml/2006/main">
                  <a:graphicData uri="http://schemas.microsoft.com/office/word/2010/wordprocessingShape">
                    <wps:wsp>
                      <wps:cNvSpPr txBox="1"/>
                      <wps:spPr>
                        <a:xfrm>
                          <a:ext cx="2578735" cy="1752600"/>
                        </a:xfrm>
                        <a:prstGeom prst="rect"/>
                        <a:noFill/>
                      </wps:spPr>
                      <wps:txbx>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Красноярскому краю</w:t>
                            </w:r>
                          </w:p>
                          <w:p>
                            <w:pPr>
                              <w:pStyle w:val="Style2"/>
                              <w:keepNext w:val="0"/>
                              <w:keepLines w:val="0"/>
                              <w:widowControl w:val="0"/>
                              <w:shd w:val="clear" w:color="auto" w:fill="auto"/>
                              <w:bidi w:val="0"/>
                              <w:spacing w:before="0" w:line="276" w:lineRule="auto"/>
                              <w:ind w:left="0" w:right="0" w:firstLine="0"/>
                              <w:jc w:val="center"/>
                            </w:pPr>
                            <w:r>
                              <w:rPr>
                                <w:spacing w:val="0"/>
                                <w:w w:val="100"/>
                                <w:position w:val="0"/>
                                <w:shd w:val="clear" w:color="auto" w:fill="auto"/>
                                <w:lang w:val="ru-RU" w:eastAsia="ru-RU" w:bidi="ru-RU"/>
                              </w:rPr>
                              <w:t>пр. Мира, 81 д, г. Красноярск, 660017</w:t>
                              <w:br/>
                              <w:t>тел. (391) 211-00-00, факс (391) 211-01-14</w:t>
                              <w:br/>
                              <w:t>е-таП: 1о24й</w:t>
                            </w:r>
                            <w:r>
                              <w:rPr>
                                <w:spacing w:val="0"/>
                                <w:w w:val="100"/>
                                <w:position w:val="0"/>
                                <w:shd w:val="clear" w:color="auto" w:fill="auto"/>
                                <w:vertAlign w:val="subscript"/>
                                <w:lang w:val="ru-RU" w:eastAsia="ru-RU" w:bidi="ru-RU"/>
                              </w:rPr>
                              <w:t>;</w:t>
                            </w:r>
                            <w:r>
                              <w:rPr>
                                <w:spacing w:val="0"/>
                                <w:w w:val="100"/>
                                <w:position w:val="0"/>
                                <w:shd w:val="clear" w:color="auto" w:fill="auto"/>
                                <w:lang w:val="ru-RU" w:eastAsia="ru-RU" w:bidi="ru-RU"/>
                              </w:rPr>
                              <w:t>Таа.ао\'.ги</w:t>
                            </w:r>
                          </w:p>
                          <w:p>
                            <w:pPr>
                              <w:pStyle w:val="Style5"/>
                              <w:keepNext w:val="0"/>
                              <w:keepLines w:val="0"/>
                              <w:widowControl w:val="0"/>
                              <w:shd w:val="clear" w:color="auto" w:fill="auto"/>
                              <w:tabs>
                                <w:tab w:leader="underscore" w:pos="1762" w:val="left"/>
                                <w:tab w:leader="underscore" w:pos="3926" w:val="left"/>
                              </w:tabs>
                              <w:bidi w:val="0"/>
                              <w:spacing w:before="0" w:line="264" w:lineRule="auto"/>
                              <w:ind w:left="0" w:right="0" w:firstLine="0"/>
                              <w:jc w:val="center"/>
                              <w:rPr>
                                <w:sz w:val="18"/>
                                <w:szCs w:val="18"/>
                              </w:rPr>
                            </w:pPr>
                            <w:r>
                              <w:rPr>
                                <w:b w:val="0"/>
                                <w:bCs w:val="0"/>
                                <w:spacing w:val="0"/>
                                <w:w w:val="100"/>
                                <w:position w:val="0"/>
                                <w:sz w:val="18"/>
                                <w:szCs w:val="18"/>
                                <w:shd w:val="clear" w:color="auto" w:fill="auto"/>
                                <w:lang w:val="ru-RU" w:eastAsia="ru-RU" w:bidi="ru-RU"/>
                              </w:rPr>
                              <w:tab/>
                              <w:t xml:space="preserve"> №</w:t>
                              <w:tab/>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7.100000000000001pt;margin-top:57.399999999999999pt;width:203.05000000000001pt;height:138.pt;z-index:-125829374;mso-wrap-distance-left:9.pt;mso-wrap-distance-top:56.399999999999999pt;mso-wrap-distance-right:10.450000000000001pt;mso-wrap-distance-bottom:62.399999999999999pt;mso-position-horizontal-relative:page" filled="f" stroked="f">
                <v:textbox inset="0,0,0,0">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Красноярскому краю</w:t>
                      </w:r>
                    </w:p>
                    <w:p>
                      <w:pPr>
                        <w:pStyle w:val="Style2"/>
                        <w:keepNext w:val="0"/>
                        <w:keepLines w:val="0"/>
                        <w:widowControl w:val="0"/>
                        <w:shd w:val="clear" w:color="auto" w:fill="auto"/>
                        <w:bidi w:val="0"/>
                        <w:spacing w:before="0" w:line="276" w:lineRule="auto"/>
                        <w:ind w:left="0" w:right="0" w:firstLine="0"/>
                        <w:jc w:val="center"/>
                      </w:pPr>
                      <w:r>
                        <w:rPr>
                          <w:spacing w:val="0"/>
                          <w:w w:val="100"/>
                          <w:position w:val="0"/>
                          <w:shd w:val="clear" w:color="auto" w:fill="auto"/>
                          <w:lang w:val="ru-RU" w:eastAsia="ru-RU" w:bidi="ru-RU"/>
                        </w:rPr>
                        <w:t>пр. Мира, 81 д, г. Красноярск, 660017</w:t>
                        <w:br/>
                        <w:t>тел. (391) 211-00-00, факс (391) 211-01-14</w:t>
                        <w:br/>
                        <w:t>е-таП: 1о24й</w:t>
                      </w:r>
                      <w:r>
                        <w:rPr>
                          <w:spacing w:val="0"/>
                          <w:w w:val="100"/>
                          <w:position w:val="0"/>
                          <w:shd w:val="clear" w:color="auto" w:fill="auto"/>
                          <w:vertAlign w:val="subscript"/>
                          <w:lang w:val="ru-RU" w:eastAsia="ru-RU" w:bidi="ru-RU"/>
                        </w:rPr>
                        <w:t>;</w:t>
                      </w:r>
                      <w:r>
                        <w:rPr>
                          <w:spacing w:val="0"/>
                          <w:w w:val="100"/>
                          <w:position w:val="0"/>
                          <w:shd w:val="clear" w:color="auto" w:fill="auto"/>
                          <w:lang w:val="ru-RU" w:eastAsia="ru-RU" w:bidi="ru-RU"/>
                        </w:rPr>
                        <w:t>Таа.ао\'.ги</w:t>
                      </w:r>
                    </w:p>
                    <w:p>
                      <w:pPr>
                        <w:pStyle w:val="Style5"/>
                        <w:keepNext w:val="0"/>
                        <w:keepLines w:val="0"/>
                        <w:widowControl w:val="0"/>
                        <w:shd w:val="clear" w:color="auto" w:fill="auto"/>
                        <w:tabs>
                          <w:tab w:leader="underscore" w:pos="1762" w:val="left"/>
                          <w:tab w:leader="underscore" w:pos="3926" w:val="left"/>
                        </w:tabs>
                        <w:bidi w:val="0"/>
                        <w:spacing w:before="0" w:line="264" w:lineRule="auto"/>
                        <w:ind w:left="0" w:right="0" w:firstLine="0"/>
                        <w:jc w:val="center"/>
                        <w:rPr>
                          <w:sz w:val="18"/>
                          <w:szCs w:val="18"/>
                        </w:rPr>
                      </w:pPr>
                      <w:r>
                        <w:rPr>
                          <w:b w:val="0"/>
                          <w:bCs w:val="0"/>
                          <w:spacing w:val="0"/>
                          <w:w w:val="100"/>
                          <w:position w:val="0"/>
                          <w:sz w:val="18"/>
                          <w:szCs w:val="18"/>
                          <w:shd w:val="clear" w:color="auto" w:fill="auto"/>
                          <w:lang w:val="ru-RU" w:eastAsia="ru-RU" w:bidi="ru-RU"/>
                        </w:rPr>
                        <w:tab/>
                        <w:t xml:space="preserve"> №</w:t>
                        <w:tab/>
                      </w:r>
                    </w:p>
                  </w:txbxContent>
                </v:textbox>
                <w10:wrap type="square" side="right" anchorx="page"/>
              </v:shape>
            </w:pict>
          </mc:Fallback>
        </mc:AlternateContent>
      </w:r>
      <w:r>
        <w:drawing>
          <wp:anchor distT="3081020" distB="0" distL="117475" distR="114300" simplePos="0" relativeHeight="125829381" behindDoc="0" locked="0" layoutInCell="1" allowOverlap="1">
            <wp:simplePos x="0" y="0"/>
            <wp:positionH relativeFrom="page">
              <wp:posOffset>728345</wp:posOffset>
            </wp:positionH>
            <wp:positionV relativeFrom="paragraph">
              <wp:posOffset>3093720</wp:posOffset>
            </wp:positionV>
            <wp:extent cx="2597150" cy="182880"/>
            <wp:wrapSquare wrapText="right"/>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7"/>
                    <a:stretch/>
                  </pic:blipFill>
                  <pic:spPr>
                    <a:xfrm>
                      <a:ext cx="2597150" cy="18288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725170</wp:posOffset>
                </wp:positionH>
                <wp:positionV relativeFrom="paragraph">
                  <wp:posOffset>2658110</wp:posOffset>
                </wp:positionV>
                <wp:extent cx="2578735" cy="130810"/>
                <wp:wrapNone/>
                <wp:docPr id="7" name="Shape 7"/>
                <a:graphic xmlns:a="http://schemas.openxmlformats.org/drawingml/2006/main">
                  <a:graphicData uri="http://schemas.microsoft.com/office/word/2010/wordprocessingShape">
                    <wps:wsp>
                      <wps:cNvSpPr txBox="1"/>
                      <wps:spPr>
                        <a:xfrm>
                          <a:ext cx="2578735" cy="130810"/>
                        </a:xfrm>
                        <a:prstGeom prst="rect"/>
                        <a:noFill/>
                      </wps:spPr>
                      <wps:txbx>
                        <w:txbxContent>
                          <w:p>
                            <w:pPr>
                              <w:pStyle w:val="Style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На №  от</w:t>
                            </w:r>
                          </w:p>
                        </w:txbxContent>
                      </wps:txbx>
                      <wps:bodyPr lIns="0" tIns="0" rIns="0" bIns="0">
                        <a:noAutoFit/>
                      </wps:bodyPr>
                    </wps:wsp>
                  </a:graphicData>
                </a:graphic>
              </wp:anchor>
            </w:drawing>
          </mc:Choice>
          <mc:Fallback>
            <w:pict>
              <v:shape id="_x0000_s1033" type="#_x0000_t202" style="position:absolute;margin-left:57.100000000000001pt;margin-top:209.30000000000001pt;width:203.05000000000001pt;height:10.300000000000001pt;z-index:251657729;mso-wrap-distance-left:0;mso-wrap-distance-right:0;mso-position-horizontal-relative:page" filled="f" stroked="f">
                <v:textbox inset="0,0,0,0">
                  <w:txbxContent>
                    <w:p>
                      <w:pPr>
                        <w:pStyle w:val="Style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На №  от</w:t>
                      </w:r>
                    </w:p>
                  </w:txbxContent>
                </v:textbox>
                <w10:wrap anchorx="page"/>
              </v:shape>
            </w:pict>
          </mc:Fallback>
        </mc:AlternateContent>
      </w:r>
    </w:p>
    <w:p>
      <w:pPr>
        <w:pStyle w:val="Style10"/>
        <w:keepNext w:val="0"/>
        <w:keepLines w:val="0"/>
        <w:widowControl w:val="0"/>
        <w:shd w:val="clear" w:color="auto" w:fill="auto"/>
        <w:bidi w:val="0"/>
        <w:spacing w:before="0" w:after="0" w:line="240" w:lineRule="auto"/>
        <w:ind w:left="540" w:right="0" w:firstLine="0"/>
        <w:jc w:val="left"/>
      </w:pPr>
      <w:r>
        <w:rPr>
          <w:color w:val="000000"/>
          <w:spacing w:val="0"/>
          <w:w w:val="100"/>
          <w:position w:val="0"/>
          <w:sz w:val="24"/>
          <w:szCs w:val="24"/>
          <w:shd w:val="clear" w:color="auto" w:fill="auto"/>
          <w:lang w:val="ru-RU" w:eastAsia="ru-RU" w:bidi="ru-RU"/>
        </w:rPr>
        <w:t>ООО «САГА-М»</w:t>
      </w:r>
    </w:p>
    <w:p>
      <w:pPr>
        <w:pStyle w:val="Style10"/>
        <w:keepNext w:val="0"/>
        <w:keepLines w:val="0"/>
        <w:widowControl w:val="0"/>
        <w:shd w:val="clear" w:color="auto" w:fill="auto"/>
        <w:bidi w:val="0"/>
        <w:spacing w:before="0" w:after="240" w:line="240" w:lineRule="auto"/>
        <w:ind w:left="540" w:right="0" w:firstLine="0"/>
        <w:jc w:val="left"/>
      </w:pPr>
      <w:r>
        <w:rPr>
          <w:color w:val="000000"/>
          <w:spacing w:val="0"/>
          <w:w w:val="100"/>
          <w:position w:val="0"/>
          <w:sz w:val="24"/>
          <w:szCs w:val="24"/>
          <w:shd w:val="clear" w:color="auto" w:fill="auto"/>
          <w:lang w:val="ru-RU" w:eastAsia="ru-RU" w:bidi="ru-RU"/>
        </w:rPr>
        <w:t>ул. В.И. Ленина, д. 263А, помещ. 9, раб. место 9 г. Элиста, Республика Калмыкия, 358000 8ада-т@т1егпе1.ш</w:t>
      </w:r>
    </w:p>
    <w:p>
      <w:pPr>
        <w:pStyle w:val="Style10"/>
        <w:keepNext w:val="0"/>
        <w:keepLines w:val="0"/>
        <w:widowControl w:val="0"/>
        <w:shd w:val="clear" w:color="auto" w:fill="auto"/>
        <w:bidi w:val="0"/>
        <w:spacing w:before="0" w:after="0" w:line="240" w:lineRule="auto"/>
        <w:ind w:left="540" w:right="0" w:firstLine="0"/>
        <w:jc w:val="left"/>
      </w:pPr>
      <w:r>
        <w:rPr>
          <w:color w:val="000000"/>
          <w:spacing w:val="0"/>
          <w:w w:val="100"/>
          <w:position w:val="0"/>
          <w:sz w:val="24"/>
          <w:szCs w:val="24"/>
          <w:shd w:val="clear" w:color="auto" w:fill="auto"/>
          <w:lang w:val="ru-RU" w:eastAsia="ru-RU" w:bidi="ru-RU"/>
        </w:rPr>
        <w:t>Агентство государственного заказа Красноярского края</w:t>
      </w:r>
    </w:p>
    <w:p>
      <w:pPr>
        <w:pStyle w:val="Style10"/>
        <w:keepNext w:val="0"/>
        <w:keepLines w:val="0"/>
        <w:widowControl w:val="0"/>
        <w:shd w:val="clear" w:color="auto" w:fill="auto"/>
        <w:bidi w:val="0"/>
        <w:spacing w:before="0" w:after="240" w:line="240" w:lineRule="auto"/>
        <w:ind w:left="540" w:right="0" w:firstLine="0"/>
        <w:jc w:val="left"/>
      </w:pPr>
      <w:r>
        <w:rPr>
          <w:color w:val="000000"/>
          <w:spacing w:val="0"/>
          <w:w w:val="100"/>
          <w:position w:val="0"/>
          <w:sz w:val="24"/>
          <w:szCs w:val="24"/>
          <w:shd w:val="clear" w:color="auto" w:fill="auto"/>
          <w:lang w:val="ru-RU" w:eastAsia="ru-RU" w:bidi="ru-RU"/>
        </w:rPr>
        <w:t>Мира пр-т, д. 10, оф. 53, г. Красноярск, 660049 адх_рпет@таП.ш; адх_хаЬе1та@таП.ш</w:t>
      </w:r>
    </w:p>
    <w:p>
      <w:pPr>
        <w:pStyle w:val="Style10"/>
        <w:keepNext w:val="0"/>
        <w:keepLines w:val="0"/>
        <w:widowControl w:val="0"/>
        <w:shd w:val="clear" w:color="auto" w:fill="auto"/>
        <w:bidi w:val="0"/>
        <w:spacing w:before="0" w:after="0" w:line="240" w:lineRule="auto"/>
        <w:ind w:left="540" w:right="0" w:firstLine="0"/>
        <w:jc w:val="left"/>
      </w:pPr>
      <w:r>
        <w:rPr>
          <w:color w:val="000000"/>
          <w:spacing w:val="0"/>
          <w:w w:val="100"/>
          <w:position w:val="0"/>
          <w:sz w:val="24"/>
          <w:szCs w:val="24"/>
          <w:shd w:val="clear" w:color="auto" w:fill="auto"/>
          <w:lang w:val="ru-RU" w:eastAsia="ru-RU" w:bidi="ru-RU"/>
        </w:rPr>
        <w:t>КГБУ «МФЦ»</w:t>
      </w:r>
    </w:p>
    <w:p>
      <w:pPr>
        <w:pStyle w:val="Style10"/>
        <w:keepNext w:val="0"/>
        <w:keepLines w:val="0"/>
        <w:widowControl w:val="0"/>
        <w:shd w:val="clear" w:color="auto" w:fill="auto"/>
        <w:bidi w:val="0"/>
        <w:spacing w:before="0" w:after="240" w:line="240" w:lineRule="auto"/>
        <w:ind w:left="540" w:right="0" w:firstLine="0"/>
        <w:jc w:val="left"/>
      </w:pPr>
      <w:r>
        <w:rPr>
          <w:color w:val="000000"/>
          <w:spacing w:val="0"/>
          <w:w w:val="100"/>
          <w:position w:val="0"/>
          <w:sz w:val="24"/>
          <w:szCs w:val="24"/>
          <w:shd w:val="clear" w:color="auto" w:fill="auto"/>
          <w:lang w:val="ru-RU" w:eastAsia="ru-RU" w:bidi="ru-RU"/>
        </w:rPr>
        <w:t>ул. 9 Мая, д. 12, пом. 462, г. Красноярск, 660125 тГс@24тГс.ги; ^81атди1оVа@24т^с.ш</w:t>
      </w:r>
    </w:p>
    <w:p>
      <w:pPr>
        <w:pStyle w:val="Style10"/>
        <w:keepNext w:val="0"/>
        <w:keepLines w:val="0"/>
        <w:widowControl w:val="0"/>
        <w:shd w:val="clear" w:color="auto" w:fill="auto"/>
        <w:bidi w:val="0"/>
        <w:spacing w:before="0" w:after="0" w:line="240" w:lineRule="auto"/>
        <w:ind w:left="4860" w:right="0" w:firstLine="0"/>
        <w:jc w:val="left"/>
      </w:pPr>
      <w:r>
        <w:rPr>
          <w:color w:val="000000"/>
          <w:spacing w:val="0"/>
          <w:w w:val="100"/>
          <w:position w:val="0"/>
          <w:sz w:val="24"/>
          <w:szCs w:val="24"/>
          <w:shd w:val="clear" w:color="auto" w:fill="auto"/>
          <w:lang w:val="ru-RU" w:eastAsia="ru-RU" w:bidi="ru-RU"/>
        </w:rPr>
        <w:t>ЭТП ТЭК-Торг</w:t>
      </w:r>
    </w:p>
    <w:p>
      <w:pPr>
        <w:pStyle w:val="Style10"/>
        <w:keepNext w:val="0"/>
        <w:keepLines w:val="0"/>
        <w:widowControl w:val="0"/>
        <w:shd w:val="clear" w:color="auto" w:fill="auto"/>
        <w:bidi w:val="0"/>
        <w:spacing w:before="0" w:after="0" w:line="240" w:lineRule="auto"/>
        <w:ind w:left="4860" w:right="0" w:firstLine="0"/>
        <w:jc w:val="left"/>
      </w:pPr>
      <w:r>
        <w:rPr>
          <w:color w:val="000000"/>
          <w:spacing w:val="0"/>
          <w:w w:val="100"/>
          <w:position w:val="0"/>
          <w:sz w:val="24"/>
          <w:szCs w:val="24"/>
          <w:shd w:val="clear" w:color="auto" w:fill="auto"/>
          <w:lang w:val="ru-RU" w:eastAsia="ru-RU" w:bidi="ru-RU"/>
        </w:rPr>
        <w:t>ул. Тимура Фрунзе, д. 24, г. Москва, 119034</w:t>
      </w:r>
    </w:p>
    <w:p>
      <w:pPr>
        <w:pStyle w:val="Style10"/>
        <w:keepNext w:val="0"/>
        <w:keepLines w:val="0"/>
        <w:widowControl w:val="0"/>
        <w:shd w:val="clear" w:color="auto" w:fill="auto"/>
        <w:bidi w:val="0"/>
        <w:spacing w:before="0" w:after="280" w:line="240" w:lineRule="auto"/>
        <w:ind w:left="4860" w:right="0" w:firstLine="0"/>
        <w:jc w:val="left"/>
      </w:pPr>
      <w:r>
        <w:rPr>
          <w:color w:val="000000"/>
          <w:spacing w:val="0"/>
          <w:w w:val="100"/>
          <w:position w:val="0"/>
          <w:sz w:val="24"/>
          <w:szCs w:val="24"/>
          <w:shd w:val="clear" w:color="auto" w:fill="auto"/>
          <w:lang w:val="ru-RU" w:eastAsia="ru-RU" w:bidi="ru-RU"/>
        </w:rPr>
        <w:t>Ье1р@1ек1огд.ги</w:t>
      </w:r>
    </w:p>
    <w:p>
      <w:pPr>
        <w:pStyle w:val="Style10"/>
        <w:keepNext w:val="0"/>
        <w:keepLines w:val="0"/>
        <w:widowControl w:val="0"/>
        <w:shd w:val="clear" w:color="auto" w:fill="auto"/>
        <w:bidi w:val="0"/>
        <w:spacing w:before="0" w:after="100" w:line="240" w:lineRule="auto"/>
        <w:ind w:left="0" w:right="0" w:firstLine="0"/>
        <w:jc w:val="center"/>
      </w:pPr>
      <w:r>
        <w:rPr>
          <w:color w:val="000000"/>
          <w:spacing w:val="0"/>
          <w:w w:val="100"/>
          <w:position w:val="0"/>
          <w:sz w:val="24"/>
          <w:szCs w:val="24"/>
          <w:shd w:val="clear" w:color="auto" w:fill="auto"/>
          <w:lang w:val="ru-RU" w:eastAsia="ru-RU" w:bidi="ru-RU"/>
        </w:rPr>
        <w:t>Решение № 024/06/106-3066/2024</w:t>
      </w:r>
    </w:p>
    <w:p>
      <w:pPr>
        <w:pStyle w:val="Style10"/>
        <w:keepNext w:val="0"/>
        <w:keepLines w:val="0"/>
        <w:widowControl w:val="0"/>
        <w:shd w:val="clear" w:color="auto" w:fill="auto"/>
        <w:bidi w:val="0"/>
        <w:spacing w:before="0" w:after="240" w:line="240" w:lineRule="auto"/>
        <w:ind w:left="0" w:right="0" w:firstLine="0"/>
        <w:jc w:val="left"/>
      </w:pPr>
      <w:r>
        <mc:AlternateContent>
          <mc:Choice Requires="wps">
            <w:drawing>
              <wp:anchor distT="0" distB="0" distL="114300" distR="114300" simplePos="0" relativeHeight="125829382" behindDoc="0" locked="0" layoutInCell="1" allowOverlap="1">
                <wp:simplePos x="0" y="0"/>
                <wp:positionH relativeFrom="page">
                  <wp:posOffset>6290945</wp:posOffset>
                </wp:positionH>
                <wp:positionV relativeFrom="paragraph">
                  <wp:posOffset>12700</wp:posOffset>
                </wp:positionV>
                <wp:extent cx="908050" cy="216535"/>
                <wp:wrapSquare wrapText="left"/>
                <wp:docPr id="9" name="Shape 9"/>
                <a:graphic xmlns:a="http://schemas.openxmlformats.org/drawingml/2006/main">
                  <a:graphicData uri="http://schemas.microsoft.com/office/word/2010/wordprocessingShape">
                    <wps:wsp>
                      <wps:cNvSpPr txBox="1"/>
                      <wps:spPr>
                        <a:xfrm>
                          <a:ext cx="908050" cy="21653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г. Красноярск</w:t>
                            </w:r>
                          </w:p>
                        </w:txbxContent>
                      </wps:txbx>
                      <wps:bodyPr wrap="none" lIns="0" tIns="0" rIns="0" bIns="0">
                        <a:noAutoFit/>
                      </wps:bodyPr>
                    </wps:wsp>
                  </a:graphicData>
                </a:graphic>
              </wp:anchor>
            </w:drawing>
          </mc:Choice>
          <mc:Fallback>
            <w:pict>
              <v:shape id="_x0000_s1035" type="#_x0000_t202" style="position:absolute;margin-left:495.35000000000002pt;margin-top:1.pt;width:71.5pt;height:17.050000000000001pt;z-index:-125829371;mso-wrap-distance-left:9.pt;mso-wrap-distance-right:9.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г. Красноярск</w:t>
                      </w:r>
                    </w:p>
                  </w:txbxContent>
                </v:textbox>
                <w10:wrap type="square" side="left" anchorx="page"/>
              </v:shape>
            </w:pict>
          </mc:Fallback>
        </mc:AlternateContent>
      </w:r>
      <w:r>
        <w:rPr>
          <w:color w:val="000000"/>
          <w:spacing w:val="0"/>
          <w:w w:val="100"/>
          <w:position w:val="0"/>
          <w:sz w:val="24"/>
          <w:szCs w:val="24"/>
          <w:shd w:val="clear" w:color="auto" w:fill="auto"/>
          <w:lang w:val="ru-RU" w:eastAsia="ru-RU" w:bidi="ru-RU"/>
        </w:rPr>
        <w:t>3 октября 2024 года</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Комиссия Красноярского УФАС России по контролю в сфере закупок в составе: Председатель Комиссии - М.А. Грицай, начальник отдела, члены Комиссии: Е.А. Шмыгина, заместитель начальника отдела, В.С. Гамазина, государственный инспектор (далее - Комиссия), рассмотрев жалобу ООО «САГА-М» (далее - податель жалобы) на действия комиссии по осуществлению закупок уполномоченного органа - Агентства государственного заказа Красноярского края (далее - уполномоченный орган) и заказчика - Краевого государственного бюджетного учреждения «Многофункциональный центр предоставления государственных и муниципальных услуг» (далее - заказчик) (далее - аукционная комиссия) при проведении аукциона в электронной форме ЭА-№-15274/24 «Изготовление, поставка, сборка и установка мебели для нужд структурных подразделений КГБУ «МФЦ»» (далее - электронный аукцион, закупка), извещение № 0119200000124014965 на электронной торговой площадке ЭТП ТЭК-Торг (далее - оператор электронной площадки), установила следующее.</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адрес Красноярского УФАС России поступила жалоба на действия аукционной комиссии при проведении электронного аукциона.</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Существо жалобы: нарушение аукционной комиссией порядка рассмотрения заявок участников электронного аукциона, предусмотренного Федеральным законом от 05.04.2013 № 44- 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Жалоба поступила в адрес Красноярского УФАС России в срок, установленный частью 2 статьи 105 Закона о контрактной системе, соответствовала требованиям части 4 статьи 105 указанного закона, в связи с чем подлежала принятию к рассмотрению по существу.</w:t>
      </w:r>
    </w:p>
    <w:p>
      <w:pPr>
        <w:pStyle w:val="Style10"/>
        <w:keepNext w:val="0"/>
        <w:keepLines w:val="0"/>
        <w:widowControl w:val="0"/>
        <w:shd w:val="clear" w:color="auto" w:fill="auto"/>
        <w:bidi w:val="0"/>
        <w:spacing w:before="0" w:after="240" w:line="240" w:lineRule="auto"/>
        <w:ind w:left="0" w:right="0" w:firstLine="740"/>
        <w:jc w:val="both"/>
      </w:pPr>
      <w:r>
        <w:rPr>
          <w:color w:val="000000"/>
          <w:spacing w:val="0"/>
          <w:w w:val="100"/>
          <w:position w:val="0"/>
          <w:sz w:val="24"/>
          <w:szCs w:val="24"/>
          <w:shd w:val="clear" w:color="auto" w:fill="auto"/>
          <w:lang w:val="ru-RU" w:eastAsia="ru-RU" w:bidi="ru-RU"/>
        </w:rPr>
        <w:t>В адреса подателя жалобы, заказчика, аукционной комиссии, уполномоченного органа, оператора электронной площадки были направлены уведомления о содержании жалобы с информацией о месте и времени рассмотрения жалобы.</w:t>
      </w:r>
    </w:p>
    <w:p>
      <w:pPr>
        <w:pStyle w:val="Style15"/>
        <w:keepNext/>
        <w:keepLines/>
        <w:widowControl w:val="0"/>
        <w:shd w:val="clear" w:color="auto" w:fill="auto"/>
        <w:bidi w:val="0"/>
        <w:spacing w:before="0" w:line="240" w:lineRule="auto"/>
        <w:ind w:left="0" w:right="0" w:firstLine="0"/>
        <w:jc w:val="left"/>
      </w:pPr>
      <w:bookmarkStart w:id="0" w:name="bookmark0"/>
      <w:r>
        <w:rPr>
          <w:color w:val="000000"/>
          <w:spacing w:val="0"/>
          <w:w w:val="100"/>
          <w:position w:val="0"/>
          <w:shd w:val="clear" w:color="auto" w:fill="auto"/>
          <w:lang w:val="ru-RU" w:eastAsia="ru-RU" w:bidi="ru-RU"/>
        </w:rPr>
        <w:t>11111111111111111111IIII</w:t>
      </w:r>
      <w:bookmarkEnd w:id="0"/>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От подателя жалобы в адрес Красноярского УФАС России поступило ходатайство об участии в рассмотрении жалобы по существу с использованием систем видео-конференц-связи. Ходатайство было удовлетворено Красноярским УФАС России, соответствующая ссылка на подключение была направлена своевременно подателю жалобы.</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 рассмотрении жалобы по существу присутствовали представители уполномоченного органа, заказчика, надлежащим образом подтвердившие свои личность и полномочия. Податель жалобы, надлежащим образом извещенный о дате и времени рассмотрения жалобы, подключение своего представителя к видео-конференции не обеспечил, в связи с чем рассмотрение жалобы произведено в его отсутствие.</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Из доводов жалобы следует, что податель жалобы не согласен с действиями комиссии по осуществлению закупки, совершенными при рассмотрении заявок на участие в закупке (части заявок на участие в закупке), а именно: полагает необоснованным отклонение его заявки на участие в закупке.</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Уполномоченный орган, заказчик в отношении жалобы представили в письменной форме возражения, просили признать жалобу необоснованной.</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Рассмотрев существо жалобы, документы и сведения, представленные сторонами и размещенные на официальном сайте единой информационной системы в сфере закупок в информационно-телекоммуникационной сети Интернет (далее - ЕИС), проведя внеплановую проверку определения поставщика (подрядчика, исполнителя) на предмет соответствия требованиям законодательства Российской Федерации о контрактной системе в сфере закупок товаров, работ, услуг для государственных и муниципальных нужд, Комиссия установила следующие обстоятельства.</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связи с возникшей потребностью заказчика уполномоченным органом были совершены действия по определению поставщика (подрядчика, исполнителя) посредством проведения электронного аукциона.</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пункту 5 части 1 статьи 43 Закона о контрактной системе заявка на участие в закупке, если иное не предусмотрено Законом о контрактной системе, должна содержать информацию и документы, предусмотренные нормативными правовыми актами, принятыми в соответствии с частями 3 и 4 статьи 14 Закона о контрактной системе (в случае, если в извещении об осуществлении закупки, документации о закупке (если Законом о контрактной системе предусмотрена документация о закупке)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части 1 статьи 14 Закона о контрактной системе при осуществлении заказчиками закупок к товарам, происходящим из иностранного государства или группы иностранных государств, работам, услугам, соответственно выполняемым, оказываемым иностранными лицами, применяется национальный режим на равных условиях с товарами российского происхождения, работами, услугами, соответственно выполняемыми, оказываемыми российскими лицами, в случаях и на условиях, которые предусмотрены международными договорами Российской Федерации.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 xml:space="preserve">Согласно части 3 статьи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w:t>
      </w:r>
      <w:r>
        <w:rPr>
          <w:color w:val="000000"/>
          <w:spacing w:val="0"/>
          <w:w w:val="100"/>
          <w:position w:val="0"/>
          <w:sz w:val="24"/>
          <w:szCs w:val="24"/>
          <w:shd w:val="clear" w:color="auto" w:fill="auto"/>
          <w:lang w:val="ru-RU" w:eastAsia="ru-RU" w:bidi="ru-RU"/>
        </w:rPr>
        <w:t>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части 4 статьи 14 Закона о контрактной системе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частью 3 настоящей статьи.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Постановлению Правительства РФ от 30.04.2020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(далее - Постановление Правительства РФ № 616) установлен запрет на допуск промышленных товаров, происходящих из иностранных государств (за исключением государств - членов Евразийского экономического союза), для целей осуществления закупок для государственных и муниципальных нужд по перечню согласно приложению (далее - перечень).</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п. 6 Постановления Правительства РФ № 616 в целях реализации настоящего постановления:</w:t>
      </w:r>
    </w:p>
    <w:p>
      <w:pPr>
        <w:pStyle w:val="Style10"/>
        <w:keepNext w:val="0"/>
        <w:keepLines w:val="0"/>
        <w:widowControl w:val="0"/>
        <w:numPr>
          <w:ilvl w:val="0"/>
          <w:numId w:val="1"/>
        </w:numPr>
        <w:shd w:val="clear" w:color="auto" w:fill="auto"/>
        <w:tabs>
          <w:tab w:pos="1023"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подтверждением производства продукции на территории Российской Федерации является наличие сведений о такой продукции в реестре промышленной продукции, произведенной на территории Российской Федерации (далее - реестр российской промышленной продукции);</w:t>
      </w:r>
    </w:p>
    <w:p>
      <w:pPr>
        <w:pStyle w:val="Style10"/>
        <w:keepNext w:val="0"/>
        <w:keepLines w:val="0"/>
        <w:widowControl w:val="0"/>
        <w:numPr>
          <w:ilvl w:val="0"/>
          <w:numId w:val="1"/>
        </w:numPr>
        <w:shd w:val="clear" w:color="auto" w:fill="auto"/>
        <w:tabs>
          <w:tab w:pos="1038"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подтверждением производства промышленной продукции на территории государства - члена Евразийского экономического союза является наличие сведений о такой продукции в евразийском реестре промышленных товаров государств членов Евразийского экономического союза, порядок формирования и ведения которого устанавливается правом Евразийского экономического союза (далее евразийский реестр промышленных товаров).</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п. 10 Постановления Правительства РФ № 616 для подтверждения соответствия закупки промышленных товаров требованиям, установленным настоящим постановлением, участник закупки указывает (декларирует) в составе заявки на участие в закупке:</w:t>
      </w:r>
    </w:p>
    <w:p>
      <w:pPr>
        <w:pStyle w:val="Style10"/>
        <w:keepNext w:val="0"/>
        <w:keepLines w:val="0"/>
        <w:widowControl w:val="0"/>
        <w:numPr>
          <w:ilvl w:val="0"/>
          <w:numId w:val="3"/>
        </w:numPr>
        <w:shd w:val="clear" w:color="auto" w:fill="auto"/>
        <w:tabs>
          <w:tab w:pos="918"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отношении товаров, страной происхождения которых является Российская Федерация, - номера реестровых записей из реестра российской промышленной продукции, а также информацию о совокупном количестве баллов за выполнение технологических операций (условий) на территории Российской Федерации, если это предусмотрено постановлением Правительства Российской Федерации от 17 июля 2015 г. № 719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 Информация о реестровых записях о товаре и совокупном количестве баллов включается в контракт;</w:t>
      </w:r>
    </w:p>
    <w:p>
      <w:pPr>
        <w:pStyle w:val="Style10"/>
        <w:keepNext w:val="0"/>
        <w:keepLines w:val="0"/>
        <w:widowControl w:val="0"/>
        <w:numPr>
          <w:ilvl w:val="0"/>
          <w:numId w:val="3"/>
        </w:numPr>
        <w:shd w:val="clear" w:color="auto" w:fill="auto"/>
        <w:tabs>
          <w:tab w:pos="918"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 xml:space="preserve">в отношении товаров, страной происхождения которых является государство член Евразийского экономического союза, за исключением Российской Федерации, номера реестровых записей из евразийского реестра промышленных товаров, а также информацию о совокупном количестве баллов за выполнение технологических операций (условий) на территории государства - члена Евразийского экономического союза, если это предусмотрено решением Совета Евразийской экономической комиссии от 23 ноября 2020 г. № 105 (для продукции, в отношении </w:t>
      </w:r>
      <w:r>
        <w:rPr>
          <w:color w:val="000000"/>
          <w:spacing w:val="0"/>
          <w:w w:val="100"/>
          <w:position w:val="0"/>
          <w:sz w:val="24"/>
          <w:szCs w:val="24"/>
          <w:shd w:val="clear" w:color="auto" w:fill="auto"/>
          <w:lang w:val="ru-RU" w:eastAsia="ru-RU" w:bidi="ru-RU"/>
        </w:rPr>
        <w:t>которой установлены требования о совокупном количестве баллов за выполнение (освоение) на территории Евразийского экономического союза соответствующих операций (условий). Информация о реестровых записях о товаре и совокупном количестве баллов включается в контракт.</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случае представления участником закупки в составе заявки информации из реестра российской промышленной продукции или евразийского реестра промышленных товаров без указания совокупного количества баллов, указанного в абзацах втором и третьем настоящего пункта, или с указанием такого совокупного количества баллов, не соответствующего требованиям, установленным для целей осуществления закупок постановлением Правительства Российской Федерации от 17 июля 2015 г. № 719 или решением Совета Евразийской экономической комиссии от 23 ноября 2020 г. № 105 соответственно, такая заявка приравнивается к заявке, в которой содержится предложение о поставке товаров, происходящих из иностранных государств.</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Предметом закупки является изготовление, поставка, сборка и установка мебели, соответствующей коду ОКПД2 31.01.12.110. Товары, отнесенные к коду ОКПД2 31.01.1 «Мебель для офисов и предприятий торговли», являющиеся объектом закупки, включены в пункт 135 перечня, утвержденного Постановлением Правительства РФ № 616.</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Проанализировав извещение о проведении электронного аукциона, Комиссия установила, что заказчиком, уполномоченным органом был установлен запрет в соответствии с Постановлением Правительства РФ от 30.04.2020 № 616, что с учетом положений Постановления Правительства РФ № 616, объекта закупки и отнесения его к коду ОКПД2 31.01.12.110, является правомерным.</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Пунктом 1 Постановления Правительства РФ от 17.07.2015 № 719 «О подтверждении производства промышленной продукции на территории Российской Федерации» (далее - Постановление Правительства РФ № 719) установлены критерии подтверждения производства промышленной продукции на территории Российской Федерации.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Приложением к Постановлению Правительства РФ № 719 являются требования к промышленной продукции, предъявляемые в целях ее отнесения к продукции, произведенной на территории РФ.</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частности, разделом XI «Продукция мебельной и деревообрабатывающей промышленности» предусмотрены требования к продукции, являющейся предметом электронного аукциона, и относящейся к коду ОКПД2 31.01.12 «Мебель деревянная для офисов».</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примечанию 52 к Приложению к Постановлению Правительства РФ № 719 для целей осуществления закупок продукции, включенной в раздел XI настоящего приложения, для обеспечения государственных и муниципальных нужд в рамках Закона о контрактной системе, предусматривающих в качестве требования наличие реестровой записи реестра российской промышленной продукции, размещаемого в государственной информационной системе промышленности в соответствии со статьей 17.1 Федерального закона «О промышленной политике в Российской Федерации», сформированной в соответствии с Постановлением Правительства РФ № 719 в отношении продукции мебельной и деревоперерабатывающей промышленности, при производстве указанной продукции должны выполняться требования и технологические операции, предусмотренные разделом XI настоящего приложения, обеспечивающие достижение следующего минимально возможного количества баллов в части товарных позиций, в том числе 31.01.12 «Мебель деревянная для офисов» - не менее 50 баллов.</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 основании вышеизложенного Комиссия приходит к выводу о том, что на момент размещения извещения о проведении электронного аукциона (12.09.2024), Постановлением Правительства РФ № 719 предусмотрена информация о совокупном количестве баллов для приобретаемого заказчиком вида продукции.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 xml:space="preserve">Согласно пункту 3 части 2 статьи 42 Закона о контрактной системе извещение об осуществлении закупки, если иное не предусмотрено Закоом о контрактной системе, должно содержать следующие электронные документы: требования к содержанию, составу заявки на участие в закупке в соответствии с Законом о контрактной системе и инструкцию по ее </w:t>
      </w:r>
      <w:r>
        <w:rPr>
          <w:color w:val="000000"/>
          <w:spacing w:val="0"/>
          <w:w w:val="100"/>
          <w:position w:val="0"/>
          <w:sz w:val="24"/>
          <w:szCs w:val="24"/>
          <w:shd w:val="clear" w:color="auto" w:fill="auto"/>
          <w:lang w:val="ru-RU" w:eastAsia="ru-RU" w:bidi="ru-RU"/>
        </w:rPr>
        <w:t>заполнению. При этом не допускается установление требований, влекущих за собой ограничение количества участников закупки.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приложении к извещению об осуществлении закупки «Требования к содержанию и составу заявки на участие в аукционе» установлено, что «В случае, если в извещении об осуществлении закупки установлены предусмотренные статьей 14 Закона 44-ФЗ запреты, ограничения, условия допуска:</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Для подтверждения соответствия закупки промышленных товаров требованиям, установленным Постановления № 616, участник закупки указывает (декларирует) в составе заявки на участие в закупке:</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отношении товаров, страной происхождения которых является Российская Федерация, - номера реестровых записей из реестра российской промышленной продукции, а также информацию о совокупном количестве баллов за выполнение технологических операций (условий) на территории Российской Федерации, если это предусмотрено постановлением Правительства Российской Федерации от 17 июля 2015 г. № 719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 Информация о реестровых записях о товаре и совокупном количестве баллов включается в контракт;</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отношении товаров, страной происхождения которых является государство - член Евразийского экономического союза, за исключением Российской Федерации, - номера реестровых записей из евразийского реестра промышленных товаров, а также информацию о совокупном количестве баллов за выполнение технологических операций (условий) на территории государства - члена Евразийского экономического союза, если это предусмотрено решением Совета Евразийской экономической комиссии от 23 ноября 2020 г. № 105 (для продукции, в отношении которой установлены требования о совокупном количестве баллов за выполнение (освоение) на территории Евразийского экономического союза соответствующих операций (условий). Информация о реестровых записях о товаре и совокупном количестве баллов включается в контракт.</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случае представления участником закупки в составе заявки информации из реестра российской промышленной продукции или евразийского реестра промышленных товаров без указания совокупного количества баллов, указанного в абзацах втором и третьем пункта 10 Постановления № 616, или с указанием такого совокупного количества баллов, не соответствующего требованиям, установленным для целей осуществления закупок постановлением Правительства Российской Федерации от 17 июля 2015 г. № 719 или решением Совета Евразийской экономической комиссии от 23 ноября 2020 г. № 105 соответственно, такая заявка приравнивается к заявке, в которой содержится предложение о поставке товаров, происходящих из иностранных государств.</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Информация и документы, предусмотренные нормативными правовыми актами, принятыми в соответствии с ч. 3 и 4 ст. 14 Закона 44-ФЗ.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подпункту «а» пункту 1 части 5 статьи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пункту 5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 непредставления информации и документов, предусмотренных пунктом 5 части 1 статьи 43 настоящего Федерального закона, если такие документы предусмотрены нормативными правовыми актами, принятыми в соответствии с частью 3 статьи 14 настоящего Федерального закона (в случае установления в соответствии со статьей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Протоколу подведения итогов определения поставщика (подрядчика, исполнителя) от 26.09.2024 №ИЭА1 заявка подателя жалобы отклонена по следующему основанию: «п. 5 ч. 12 ст. 48 44-ФЗ - непредставление информации и документов, предусмотренных п. 5 ч. 1 ст. 43 44-ФЗ. При рассмотрении комиссией по осуществлению закупок заявки на участие в закупке, информации и документов, направленных оператором электронной площадки в соответствии с п. 4 ч. 4 ст. 49 Закона № 44-ФЗ установлено, что заявка участника подлежит отклонению, так как согласно требованиям постановления Правительства РФ от 30.04.2020 № 616 участник закупки указывает (декларирует) в составе заявки на участие в закупке сведения согласно п. 10 постановления Правительства РФ от 30.04.2020 № 616. В нарушение указанных требований, участником не представлены вышеназванные сведения (участником закупки представлены реестровые записи из реестра российской промышленной продукции, в соответствии с которыми совокупное количество баллов не соответствует требованиям Постановления Правительства Российской Федерации от 17.07.2015 № 719). На основании п. 5 ч. 12 ст. 48 Федерального закона от 05.04.2013 № 44-ФЗ заявка участника подлежит отклонению.».</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Изучив совокупность документов и сведений, имеющихся в содержании заявки подателя жалобы, Комиссия установила, что в составе такой заявки представлена выписка из Реестра российской промышленной продукции, подтверждающая производство промышленной продукции на территории РФ, однако в представленной выписке информация о совокупном количестве баллов отсутствует.</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Таким образом, заявка подателя жалобы подлежала отклонению, вследствие чего аукционной комиссией принято правомерное решение об отклонении такой заявки от участия в закупке.</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Учитывая, что наличие информации о совокупном количестве баллов для приобретаемого заказчиком вида продукции на момент размещения извещения о проведении электронного аукциона предусмотрено Постановлением Правительства РФ № 719, Комиссия Красноярского УФАС России не усматривает в действиях аукционной комиссии нарушения требований законодательства о контрактной системе.</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Выводы Комиссии коррелируются с позицией Арбитражного суда Красноярского края, изложенной в решении по делу А33-23737/2023.</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 основании вышеизложенных обстоятельств, в результате рассмотрения жалобы по существу и проведения внеплановой проверки, руководствуясь частью 8 статьи 106 Закона о контрактной системе Комиссия Красноярского УФАС России решила признать жалобу ООО «САГА-М» необоснованной.</w:t>
      </w:r>
    </w:p>
    <w:p>
      <w:pPr>
        <w:pStyle w:val="Style10"/>
        <w:keepNext w:val="0"/>
        <w:keepLines w:val="0"/>
        <w:widowControl w:val="0"/>
        <w:shd w:val="clear" w:color="auto" w:fill="auto"/>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Настоящее решение может быть обжаловано в арбитражный суд Красноярского края в течение трех месяцев со дня его принятия.</w:t>
      </w:r>
    </w:p>
    <w:p>
      <w:pPr>
        <w:pStyle w:val="Style10"/>
        <w:keepNext w:val="0"/>
        <w:keepLines w:val="0"/>
        <w:widowControl w:val="0"/>
        <w:shd w:val="clear" w:color="auto" w:fill="auto"/>
        <w:tabs>
          <w:tab w:pos="8856" w:val="left"/>
        </w:tabs>
        <w:bidi w:val="0"/>
        <w:spacing w:before="0" w:after="520" w:line="240" w:lineRule="auto"/>
        <w:ind w:left="0" w:right="0" w:firstLine="0"/>
        <w:jc w:val="both"/>
      </w:pPr>
      <w:r>
        <w:rPr>
          <w:color w:val="000000"/>
          <w:spacing w:val="0"/>
          <w:w w:val="100"/>
          <w:position w:val="0"/>
          <w:sz w:val="24"/>
          <w:szCs w:val="24"/>
          <w:shd w:val="clear" w:color="auto" w:fill="auto"/>
          <w:lang w:val="ru-RU" w:eastAsia="ru-RU" w:bidi="ru-RU"/>
        </w:rPr>
        <w:t>Председатель Комиссии</w:t>
        <w:tab/>
        <w:t>М.А. Грицай</w:t>
      </w:r>
    </w:p>
    <w:p>
      <w:pPr>
        <w:pStyle w:val="Style10"/>
        <w:keepNext w:val="0"/>
        <w:keepLines w:val="0"/>
        <w:widowControl w:val="0"/>
        <w:shd w:val="clear" w:color="auto" w:fill="auto"/>
        <w:tabs>
          <w:tab w:pos="8688" w:val="left"/>
        </w:tabs>
        <w:bidi w:val="0"/>
        <w:spacing w:before="0" w:after="520" w:line="240" w:lineRule="auto"/>
        <w:ind w:left="0" w:right="0" w:firstLine="0"/>
        <w:jc w:val="both"/>
      </w:pPr>
      <w:r>
        <w:rPr>
          <w:color w:val="000000"/>
          <w:spacing w:val="0"/>
          <w:w w:val="100"/>
          <w:position w:val="0"/>
          <w:sz w:val="24"/>
          <w:szCs w:val="24"/>
          <w:shd w:val="clear" w:color="auto" w:fill="auto"/>
          <w:lang w:val="ru-RU" w:eastAsia="ru-RU" w:bidi="ru-RU"/>
        </w:rPr>
        <w:t>Члены Комиссии</w:t>
        <w:tab/>
        <w:t>В.С. Гамазина</w:t>
      </w:r>
    </w:p>
    <w:p>
      <w:pPr>
        <w:pStyle w:val="Style10"/>
        <w:keepNext w:val="0"/>
        <w:keepLines w:val="0"/>
        <w:widowControl w:val="0"/>
        <w:shd w:val="clear" w:color="auto" w:fill="auto"/>
        <w:bidi w:val="0"/>
        <w:spacing w:before="0" w:after="520" w:line="240" w:lineRule="auto"/>
        <w:ind w:left="0" w:right="0" w:firstLine="0"/>
        <w:jc w:val="right"/>
      </w:pPr>
      <w:r>
        <w:rPr>
          <w:color w:val="000000"/>
          <w:spacing w:val="0"/>
          <w:w w:val="100"/>
          <w:position w:val="0"/>
          <w:sz w:val="24"/>
          <w:szCs w:val="24"/>
          <w:shd w:val="clear" w:color="auto" w:fill="auto"/>
          <w:lang w:val="ru-RU" w:eastAsia="ru-RU" w:bidi="ru-RU"/>
        </w:rPr>
        <w:t>Е.А. Шмыгина</w:t>
      </w:r>
    </w:p>
    <w:sectPr>
      <w:footerReference w:type="default" r:id="rId9"/>
      <w:footerReference w:type="first" r:id="rId10"/>
      <w:footnotePr>
        <w:pos w:val="pageBottom"/>
        <w:numFmt w:val="decimal"/>
        <w:numRestart w:val="continuous"/>
      </w:footnotePr>
      <w:pgSz w:w="11900" w:h="16840"/>
      <w:pgMar w:top="1049" w:right="534" w:bottom="1172" w:left="1099" w:header="0" w:footer="3" w:gutter="0"/>
      <w:pgNumType w:start="1"/>
      <w:cols w:space="720"/>
      <w:noEndnote/>
      <w:titlePg/>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725170</wp:posOffset>
              </wp:positionH>
              <wp:positionV relativeFrom="page">
                <wp:posOffset>10015855</wp:posOffset>
              </wp:positionV>
              <wp:extent cx="6470650" cy="103505"/>
              <wp:wrapNone/>
              <wp:docPr id="11" name="Shape 11"/>
              <a:graphic xmlns:a="http://schemas.openxmlformats.org/drawingml/2006/main">
                <a:graphicData uri="http://schemas.microsoft.com/office/word/2010/wordprocessingShape">
                  <wps:wsp>
                    <wps:cNvSpPr txBox="1"/>
                    <wps:spPr>
                      <a:xfrm>
                        <a:ext cx="6470650" cy="103505"/>
                      </a:xfrm>
                      <a:prstGeom prst="rect"/>
                      <a:noFill/>
                    </wps:spPr>
                    <wps:txbx>
                      <w:txbxContent>
                        <w:p>
                          <w:pPr>
                            <w:pStyle w:val="Style12"/>
                            <w:keepNext w:val="0"/>
                            <w:keepLines w:val="0"/>
                            <w:widowControl w:val="0"/>
                            <w:shd w:val="clear" w:color="auto" w:fill="auto"/>
                            <w:tabs>
                              <w:tab w:pos="10190" w:val="righ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2024-16957</w:t>
                            <w:tab/>
                          </w:r>
                          <w:fldSimple w:instr=" PAGE \* MERGEFORMAT ">
                            <w:r>
                              <w:rPr>
                                <w:color w:val="000000"/>
                                <w:spacing w:val="0"/>
                                <w:w w:val="100"/>
                                <w:position w:val="0"/>
                                <w:sz w:val="24"/>
                                <w:szCs w:val="24"/>
                                <w:shd w:val="clear" w:color="auto" w:fill="auto"/>
                                <w:lang w:val="ru-RU" w:eastAsia="ru-RU" w:bidi="ru-RU"/>
                              </w:rPr>
                              <w:t>#</w:t>
                            </w:r>
                          </w:fldSimple>
                        </w:p>
                      </w:txbxContent>
                    </wps:txbx>
                    <wps:bodyPr lIns="0" tIns="0" rIns="0" bIns="0">
                      <a:spAutoFit/>
                    </wps:bodyPr>
                  </wps:wsp>
                </a:graphicData>
              </a:graphic>
            </wp:anchor>
          </w:drawing>
        </mc:Choice>
        <mc:Fallback>
          <w:pict>
            <v:shape id="_x0000_s1037" type="#_x0000_t202" style="position:absolute;margin-left:57.100000000000001pt;margin-top:788.64999999999998pt;width:509.5pt;height:8.1500000000000004pt;z-index:-188744063;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tabs>
                        <w:tab w:pos="10190" w:val="righ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2024-16957</w:t>
                      <w:tab/>
                    </w: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725170</wp:posOffset>
              </wp:positionH>
              <wp:positionV relativeFrom="page">
                <wp:posOffset>10012680</wp:posOffset>
              </wp:positionV>
              <wp:extent cx="725170" cy="100330"/>
              <wp:wrapNone/>
              <wp:docPr id="13" name="Shape 13"/>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2024-16957</w:t>
                          </w:r>
                        </w:p>
                      </w:txbxContent>
                    </wps:txbx>
                    <wps:bodyPr wrap="none" lIns="0" tIns="0" rIns="0" bIns="0">
                      <a:spAutoFit/>
                    </wps:bodyPr>
                  </wps:wsp>
                </a:graphicData>
              </a:graphic>
            </wp:anchor>
          </w:drawing>
        </mc:Choice>
        <mc:Fallback>
          <w:pict>
            <v:shape id="_x0000_s1039" type="#_x0000_t202" style="position:absolute;margin-left:57.100000000000001pt;margin-top:788.39999999999998pt;width:57.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2024-16957</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2)_"/>
    <w:basedOn w:val="DefaultParagraphFont"/>
    <w:link w:val="Style2"/>
    <w:rPr>
      <w:rFonts w:ascii="Times New Roman" w:eastAsia="Times New Roman" w:hAnsi="Times New Roman" w:cs="Times New Roman"/>
      <w:b w:val="0"/>
      <w:bCs w:val="0"/>
      <w:i w:val="0"/>
      <w:iCs w:val="0"/>
      <w:smallCaps w:val="0"/>
      <w:strike w:val="0"/>
      <w:color w:val="4360A3"/>
      <w:sz w:val="16"/>
      <w:szCs w:val="16"/>
      <w:u w:val="none"/>
    </w:rPr>
  </w:style>
  <w:style w:type="character" w:customStyle="1" w:styleId="CharStyle6">
    <w:name w:val="Основной текст (3)_"/>
    <w:basedOn w:val="DefaultParagraphFont"/>
    <w:link w:val="Style5"/>
    <w:rPr>
      <w:rFonts w:ascii="Times New Roman" w:eastAsia="Times New Roman" w:hAnsi="Times New Roman" w:cs="Times New Roman"/>
      <w:b/>
      <w:bCs/>
      <w:i w:val="0"/>
      <w:iCs w:val="0"/>
      <w:smallCaps w:val="0"/>
      <w:strike w:val="0"/>
      <w:color w:val="4360A3"/>
      <w:sz w:val="19"/>
      <w:szCs w:val="19"/>
      <w:u w:val="none"/>
    </w:rPr>
  </w:style>
  <w:style w:type="character" w:customStyle="1" w:styleId="CharStyle9">
    <w:name w:val="Подпись к картинке_"/>
    <w:basedOn w:val="DefaultParagraphFont"/>
    <w:link w:val="Style8"/>
    <w:rPr>
      <w:rFonts w:ascii="Times New Roman" w:eastAsia="Times New Roman" w:hAnsi="Times New Roman" w:cs="Times New Roman"/>
      <w:b w:val="0"/>
      <w:bCs w:val="0"/>
      <w:i w:val="0"/>
      <w:iCs w:val="0"/>
      <w:smallCaps w:val="0"/>
      <w:strike w:val="0"/>
      <w:color w:val="4360A3"/>
      <w:sz w:val="18"/>
      <w:szCs w:val="18"/>
      <w:u w:val="none"/>
    </w:rPr>
  </w:style>
  <w:style w:type="character" w:customStyle="1" w:styleId="CharStyle11">
    <w:name w:val="Основной текст_"/>
    <w:basedOn w:val="DefaultParagraphFont"/>
    <w:link w:val="Style10"/>
    <w:rPr>
      <w:rFonts w:ascii="Times New Roman" w:eastAsia="Times New Roman" w:hAnsi="Times New Roman" w:cs="Times New Roman"/>
      <w:b w:val="0"/>
      <w:bCs w:val="0"/>
      <w:i w:val="0"/>
      <w:iCs w:val="0"/>
      <w:smallCaps w:val="0"/>
      <w:strike w:val="0"/>
      <w:u w:val="none"/>
    </w:rPr>
  </w:style>
  <w:style w:type="character" w:customStyle="1" w:styleId="CharStyle13">
    <w:name w:val="Колонтитул (2)_"/>
    <w:basedOn w:val="DefaultParagraphFont"/>
    <w:link w:val="Style12"/>
    <w:rPr>
      <w:rFonts w:ascii="Times New Roman" w:eastAsia="Times New Roman" w:hAnsi="Times New Roman" w:cs="Times New Roman"/>
      <w:b w:val="0"/>
      <w:bCs w:val="0"/>
      <w:i w:val="0"/>
      <w:iCs w:val="0"/>
      <w:smallCaps w:val="0"/>
      <w:strike w:val="0"/>
      <w:sz w:val="20"/>
      <w:szCs w:val="20"/>
      <w:u w:val="none"/>
    </w:rPr>
  </w:style>
  <w:style w:type="character" w:customStyle="1" w:styleId="CharStyle16">
    <w:name w:val="Заголовок №1_"/>
    <w:basedOn w:val="DefaultParagraphFont"/>
    <w:link w:val="Style15"/>
    <w:rPr>
      <w:rFonts w:ascii="Arial" w:eastAsia="Arial" w:hAnsi="Arial" w:cs="Arial"/>
      <w:b w:val="0"/>
      <w:bCs w:val="0"/>
      <w:i w:val="0"/>
      <w:iCs w:val="0"/>
      <w:smallCaps w:val="0"/>
      <w:strike w:val="0"/>
      <w:sz w:val="48"/>
      <w:szCs w:val="48"/>
      <w:u w:val="none"/>
    </w:rPr>
  </w:style>
  <w:style w:type="paragraph" w:customStyle="1" w:styleId="Style2">
    <w:name w:val="Основной текст (2)"/>
    <w:basedOn w:val="Normal"/>
    <w:link w:val="CharStyle3"/>
    <w:pPr>
      <w:widowControl w:val="0"/>
      <w:shd w:val="clear" w:color="auto" w:fill="auto"/>
      <w:spacing w:after="440" w:line="281" w:lineRule="auto"/>
      <w:jc w:val="center"/>
    </w:pPr>
    <w:rPr>
      <w:rFonts w:ascii="Times New Roman" w:eastAsia="Times New Roman" w:hAnsi="Times New Roman" w:cs="Times New Roman"/>
      <w:b w:val="0"/>
      <w:bCs w:val="0"/>
      <w:i w:val="0"/>
      <w:iCs w:val="0"/>
      <w:smallCaps w:val="0"/>
      <w:strike w:val="0"/>
      <w:color w:val="4360A3"/>
      <w:sz w:val="16"/>
      <w:szCs w:val="16"/>
      <w:u w:val="none"/>
    </w:rPr>
  </w:style>
  <w:style w:type="paragraph" w:customStyle="1" w:styleId="Style5">
    <w:name w:val="Основной текст (3)"/>
    <w:basedOn w:val="Normal"/>
    <w:link w:val="CharStyle6"/>
    <w:pPr>
      <w:widowControl w:val="0"/>
      <w:shd w:val="clear" w:color="auto" w:fill="auto"/>
      <w:spacing w:after="180"/>
      <w:jc w:val="center"/>
    </w:pPr>
    <w:rPr>
      <w:rFonts w:ascii="Times New Roman" w:eastAsia="Times New Roman" w:hAnsi="Times New Roman" w:cs="Times New Roman"/>
      <w:b/>
      <w:bCs/>
      <w:i w:val="0"/>
      <w:iCs w:val="0"/>
      <w:smallCaps w:val="0"/>
      <w:strike w:val="0"/>
      <w:color w:val="4360A3"/>
      <w:sz w:val="19"/>
      <w:szCs w:val="19"/>
      <w:u w:val="none"/>
    </w:rPr>
  </w:style>
  <w:style w:type="paragraph" w:customStyle="1" w:styleId="Style8">
    <w:name w:val="Подпись к картинке"/>
    <w:basedOn w:val="Normal"/>
    <w:link w:val="CharStyle9"/>
    <w:pPr>
      <w:widowControl w:val="0"/>
      <w:shd w:val="clear" w:color="auto" w:fill="auto"/>
      <w:spacing w:line="264" w:lineRule="auto"/>
    </w:pPr>
    <w:rPr>
      <w:rFonts w:ascii="Times New Roman" w:eastAsia="Times New Roman" w:hAnsi="Times New Roman" w:cs="Times New Roman"/>
      <w:b w:val="0"/>
      <w:bCs w:val="0"/>
      <w:i w:val="0"/>
      <w:iCs w:val="0"/>
      <w:smallCaps w:val="0"/>
      <w:strike w:val="0"/>
      <w:color w:val="4360A3"/>
      <w:sz w:val="18"/>
      <w:szCs w:val="18"/>
      <w:u w:val="none"/>
    </w:rPr>
  </w:style>
  <w:style w:type="paragraph" w:customStyle="1" w:styleId="Style10">
    <w:name w:val="Основной текст"/>
    <w:basedOn w:val="Normal"/>
    <w:link w:val="CharStyle11"/>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2">
    <w:name w:val="Колонтитул (2)"/>
    <w:basedOn w:val="Normal"/>
    <w:link w:val="CharStyle1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5">
    <w:name w:val="Заголовок №1"/>
    <w:basedOn w:val="Normal"/>
    <w:link w:val="CharStyle16"/>
    <w:pPr>
      <w:widowControl w:val="0"/>
      <w:shd w:val="clear" w:color="auto" w:fill="auto"/>
      <w:spacing w:after="240"/>
      <w:outlineLvl w:val="0"/>
    </w:pPr>
    <w:rPr>
      <w:rFonts w:ascii="Arial" w:eastAsia="Arial" w:hAnsi="Arial" w:cs="Arial"/>
      <w:b w:val="0"/>
      <w:bCs w:val="0"/>
      <w:i w:val="0"/>
      <w:iCs w:val="0"/>
      <w:smallCaps w:val="0"/>
      <w:strike w:val="0"/>
      <w:sz w:val="48"/>
      <w:szCs w:val="48"/>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footer" Target="footer1.xml"/><Relationship Id="rId10" Type="http://schemas.openxmlformats.org/officeDocument/2006/relationships/footer" Target="footer2.xml"/></Relationships>
</file>