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50800" distB="0" distL="114300" distR="114300" simplePos="0" relativeHeight="125829378" behindDoc="0" locked="0" layoutInCell="1" allowOverlap="1">
                <wp:simplePos x="0" y="0"/>
                <wp:positionH relativeFrom="page">
                  <wp:posOffset>805815</wp:posOffset>
                </wp:positionH>
                <wp:positionV relativeFrom="paragraph">
                  <wp:posOffset>469265</wp:posOffset>
                </wp:positionV>
                <wp:extent cx="2435225" cy="1408430"/>
                <wp:wrapTopAndBottom/>
                <wp:docPr id="9" name="Shape 9"/>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41648/24</w:t>
                            </w:r>
                          </w:p>
                        </w:txbxContent>
                      </wps:txbx>
                      <wps:bodyPr lIns="0" tIns="0" rIns="0" bIns="0">
                        <a:noAutoFit/>
                      </wps:bodyPr>
                    </wps:wsp>
                  </a:graphicData>
                </a:graphic>
              </wp:anchor>
            </w:drawing>
          </mc:Choice>
          <mc:Fallback>
            <w:pict>
              <v:shape id="_x0000_s1035" type="#_x0000_t202" style="position:absolute;margin-left:63.450000000000003pt;margin-top:36.950000000000003pt;width:191.75pt;height:110.90000000000001pt;z-index:-125829375;mso-wrap-distance-left:9.pt;mso-wrap-distance-top:4.pt;mso-wrap-distance-right:9.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41648/24</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«МЕДКОМИНТЕР»</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тедсот61@уапдех.ги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«ГКБ № 52 ДЗМ»</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341" w:bottom="621" w:left="1601" w:header="0" w:footer="3" w:gutter="0"/>
          <w:cols w:num="2" w:space="1571"/>
          <w:noEndnote/>
          <w:rtlGutter w:val="0"/>
          <w:docGrid w:linePitch="360"/>
        </w:sectPr>
      </w:pPr>
      <w:r>
        <w:rPr>
          <w:color w:val="000000"/>
          <w:spacing w:val="0"/>
          <w:w w:val="100"/>
          <w:position w:val="0"/>
          <w:shd w:val="clear" w:color="auto" w:fill="auto"/>
          <w:lang w:val="ru-RU" w:eastAsia="ru-RU" w:bidi="ru-RU"/>
        </w:rPr>
        <w:t>4одоVО^@дкЪ52.т8к.^и</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7" behindDoc="1" locked="0" layoutInCell="1" allowOverlap="1">
            <wp:simplePos x="0" y="0"/>
            <wp:positionH relativeFrom="page">
              <wp:posOffset>727075</wp:posOffset>
            </wp:positionH>
            <wp:positionV relativeFrom="paragraph">
              <wp:posOffset>12700</wp:posOffset>
            </wp:positionV>
            <wp:extent cx="2597150" cy="70104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41" w:bottom="649" w:left="1106" w:header="0" w:footer="3" w:gutter="0"/>
          <w:cols w:space="720"/>
          <w:noEndnote/>
          <w:rtlGutter w:val="0"/>
          <w:docGrid w:linePitch="360"/>
        </w:sectPr>
      </w:pPr>
    </w:p>
    <w:p>
      <w:pPr>
        <w:widowControl w:val="0"/>
        <w:spacing w:before="71" w:after="7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0" w:right="0" w:bottom="970"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077/06/106-13661/2024 о нарушении</w:t>
        <w:br/>
        <w:t>законодательства о контрактной системе</w:t>
        <w:br/>
        <w:t>03.10.2024</w:t>
        <w:tab/>
        <w:t>г. Москва</w:t>
      </w:r>
    </w:p>
    <w:p>
      <w:pPr>
        <w:pStyle w:val="Style9"/>
        <w:keepNext w:val="0"/>
        <w:keepLines w:val="0"/>
        <w:widowControl w:val="0"/>
        <w:shd w:val="clear" w:color="auto" w:fill="auto"/>
        <w:tabs>
          <w:tab w:pos="2094"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Комиссия</w:t>
        <w:tab/>
        <w:t>Управления Федеральной антимонопольной службы по</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Москве по контролю в сфере закупок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30" w:lineRule="auto"/>
        <w:ind w:left="0" w:right="0" w:firstLine="62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30" w:lineRule="auto"/>
        <w:ind w:left="0" w:right="0" w:firstLine="68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30" w:lineRule="auto"/>
        <w:ind w:left="0" w:right="0" w:firstLine="68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9"/>
        <w:keepNext w:val="0"/>
        <w:keepLines w:val="0"/>
        <w:widowControl w:val="0"/>
        <w:shd w:val="clear" w:color="auto" w:fill="auto"/>
        <w:bidi w:val="0"/>
        <w:spacing w:before="0" w:after="0" w:line="230" w:lineRule="auto"/>
        <w:ind w:left="0" w:right="0" w:firstLine="6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30" w:lineRule="auto"/>
        <w:ind w:left="0" w:right="0" w:firstLine="62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30" w:lineRule="auto"/>
        <w:ind w:left="0" w:right="0" w:firstLine="680"/>
        <w:jc w:val="both"/>
      </w:pPr>
      <w:r>
        <w:rPr>
          <w:color w:val="000000"/>
          <w:spacing w:val="0"/>
          <w:w w:val="100"/>
          <w:position w:val="0"/>
          <w:shd w:val="clear" w:color="auto" w:fill="auto"/>
          <w:lang w:val="ru-RU" w:eastAsia="ru-RU" w:bidi="ru-RU"/>
        </w:rPr>
        <w:t>ГБУЗ «ГКБ № 52 ДЗМ»: Гущина С.В. (по доверенности от 17.03.2024 №23),</w:t>
      </w:r>
    </w:p>
    <w:p>
      <w:pPr>
        <w:pStyle w:val="Style9"/>
        <w:keepNext w:val="0"/>
        <w:keepLines w:val="0"/>
        <w:widowControl w:val="0"/>
        <w:shd w:val="clear" w:color="auto" w:fill="auto"/>
        <w:bidi w:val="0"/>
        <w:spacing w:before="0" w:after="0" w:line="230" w:lineRule="auto"/>
        <w:ind w:left="0" w:right="0" w:firstLine="680"/>
        <w:jc w:val="both"/>
      </w:pPr>
      <w:r>
        <w:rPr>
          <w:color w:val="000000"/>
          <w:spacing w:val="0"/>
          <w:w w:val="100"/>
          <w:position w:val="0"/>
          <w:shd w:val="clear" w:color="auto" w:fill="auto"/>
          <w:lang w:val="ru-RU" w:eastAsia="ru-RU" w:bidi="ru-RU"/>
        </w:rPr>
        <w:t>ООО «Медкоминтер»: Базилевич Ю.И. (по доверенности от 20.08.2024 №2008),</w:t>
      </w:r>
    </w:p>
    <w:p>
      <w:pPr>
        <w:pStyle w:val="Style9"/>
        <w:keepNext w:val="0"/>
        <w:keepLines w:val="0"/>
        <w:widowControl w:val="0"/>
        <w:shd w:val="clear" w:color="auto" w:fill="auto"/>
        <w:bidi w:val="0"/>
        <w:spacing w:before="0" w:after="840" w:line="230" w:lineRule="auto"/>
        <w:ind w:left="0" w:right="0" w:firstLine="680"/>
        <w:jc w:val="both"/>
      </w:pPr>
      <w:r>
        <w:rPr>
          <w:color w:val="000000"/>
          <w:spacing w:val="0"/>
          <w:w w:val="100"/>
          <w:position w:val="0"/>
          <w:shd w:val="clear" w:color="auto" w:fill="auto"/>
          <w:lang w:val="ru-RU" w:eastAsia="ru-RU" w:bidi="ru-RU"/>
        </w:rPr>
        <w:t>рассмотрев жалобу ООО «Медкоминтер» (далее — Заявитель) на действия ГБУЗ «ГКБ № 52 ДЗМ» (далее — Заказчик) при проведении электронного аукциона на право заключения государственного контракта на поставку электрохирургических инструментов (насадки рукоятки) (Закупка № 0373200017424000834)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40" w:line="228"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своей заявки.</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25.09.2024 №ИЭА1 заявка ООО «Медкоминтер» с идентификационным номером 1079976 отклонена на следующем основании: </w:t>
      </w:r>
      <w:r>
        <w:rPr>
          <w:i/>
          <w:iCs/>
          <w:color w:val="000000"/>
          <w:spacing w:val="0"/>
          <w:w w:val="100"/>
          <w:position w:val="0"/>
          <w:shd w:val="clear" w:color="auto" w:fill="auto"/>
          <w:lang w:val="ru-RU" w:eastAsia="ru-RU" w:bidi="ru-RU"/>
        </w:rPr>
        <w:t>«Несоответствие сведений, указанных в заявке участника, требованиям Технического задания , а именно указанные участником сведения о совместимости с генератором 611 являются недостоверными на основании письма 01И-400/23 от 22.05.2023 Росздравнадзора и в соответствии с письмом №1305-5/24 от 13.05.2024 ООО «Джонсон &amp; Джонсон» о совместимости инструментов, насадок и рукояток с Генератором электрохирургическим, ультразвуковым 611. (В соответствии с п. 1 ч.12 ст. 48 Федерального закона от 05.04.2013 г.№ 44-ФЗ)».</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в описании объекта закупки извещения об осуществлении электронного аукциона Заказчиком установлены требования к закупаемым товарам «Насадка рукоятки ультразвуковой хирургической системы для мягких тканей, одноразового использования» позиции КТРУ 32.50.50.190-00000078, в том числе: </w:t>
      </w:r>
      <w:r>
        <w:rPr>
          <w:i/>
          <w:iCs/>
          <w:color w:val="000000"/>
          <w:spacing w:val="0"/>
          <w:w w:val="100"/>
          <w:position w:val="0"/>
          <w:shd w:val="clear" w:color="auto" w:fill="auto"/>
          <w:lang w:val="ru-RU" w:eastAsia="ru-RU" w:bidi="ru-RU"/>
        </w:rPr>
        <w:t>«Совместимость: Генератор 611»</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В соответствии с п. 2 ч. 1 ст. 43 Закона о контрактной системе для участия в </w:t>
      </w:r>
      <w:r>
        <w:rPr>
          <w:color w:val="000000"/>
          <w:spacing w:val="0"/>
          <w:w w:val="100"/>
          <w:position w:val="0"/>
          <w:shd w:val="clear" w:color="auto" w:fill="auto"/>
          <w:lang w:val="ru-RU" w:eastAsia="ru-RU" w:bidi="ru-RU"/>
        </w:rPr>
        <w:t>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1"/>
        </w:numPr>
        <w:shd w:val="clear" w:color="auto" w:fill="auto"/>
        <w:tabs>
          <w:tab w:pos="1023" w:val="left"/>
        </w:tabs>
        <w:bidi w:val="0"/>
        <w:spacing w:before="0" w:after="0" w:line="228"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9"/>
        <w:keepNext w:val="0"/>
        <w:keepLines w:val="0"/>
        <w:widowControl w:val="0"/>
        <w:numPr>
          <w:ilvl w:val="0"/>
          <w:numId w:val="1"/>
        </w:numPr>
        <w:shd w:val="clear" w:color="auto" w:fill="auto"/>
        <w:tabs>
          <w:tab w:pos="1042"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9"/>
        <w:keepNext w:val="0"/>
        <w:keepLines w:val="0"/>
        <w:widowControl w:val="0"/>
        <w:numPr>
          <w:ilvl w:val="0"/>
          <w:numId w:val="1"/>
        </w:numPr>
        <w:shd w:val="clear" w:color="auto" w:fill="auto"/>
        <w:tabs>
          <w:tab w:pos="1033"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1"/>
        </w:numPr>
        <w:shd w:val="clear" w:color="auto" w:fill="auto"/>
        <w:tabs>
          <w:tab w:pos="1014" w:val="left"/>
        </w:tabs>
        <w:bidi w:val="0"/>
        <w:spacing w:before="0" w:after="0" w:line="228"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1"/>
        </w:numPr>
        <w:shd w:val="clear" w:color="auto" w:fill="auto"/>
        <w:tabs>
          <w:tab w:pos="1038"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Заявитель в составе заявки продекларировал согласие на поставку товаров на условиях извещения о осуществлении закупки, а также предоставил сведения о предложенных к поставке товарах «Насадка рукоятки ультразвуковой хирургической системы для мягких тканей, одноразового использования», в частности: </w:t>
      </w:r>
      <w:r>
        <w:rPr>
          <w:i/>
          <w:iCs/>
          <w:color w:val="000000"/>
          <w:spacing w:val="0"/>
          <w:w w:val="100"/>
          <w:position w:val="0"/>
          <w:shd w:val="clear" w:color="auto" w:fill="auto"/>
          <w:lang w:val="ru-RU" w:eastAsia="ru-RU" w:bidi="ru-RU"/>
        </w:rPr>
        <w:t>«Совместимость: Генератор 611»</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Одновременно с этим Комиссией Управления установлено, что в составе заявки Заявителя представлено регистрационное удостоверение на предлагаемое медицинское изделие № РЗН 2020/10213 от 10.11.2023.</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 пояснил, что Заявителем предлагается медицинское изделие «Скальпель ультразвуковой одноразовый модели: С83605Н, С82305Н, С81405Н, С83605Р, С82305Р, С81405Р» регистрационное удостоверение № РЗН 2020/10213 от 10.11.2023.</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В соответствии с письмом №1305-5/24 от 13.05.2024 ООО «Джонсон &amp; Джонсон» о совместимости инструментов, насадок и рукояток с Генератором </w:t>
      </w:r>
      <w:r>
        <w:rPr>
          <w:color w:val="000000"/>
          <w:spacing w:val="0"/>
          <w:w w:val="100"/>
          <w:position w:val="0"/>
          <w:shd w:val="clear" w:color="auto" w:fill="auto"/>
          <w:lang w:val="ru-RU" w:eastAsia="ru-RU" w:bidi="ru-RU"/>
        </w:rPr>
        <w:t>электрохирургическим, ультразвуковым 611 вышеуказанные изделия предложенные Заявителем не входят в перечень изделий, совместимых с медицинским изделием «Генератор электрохирургический, ультразвуковой 611, с принадлежностями» производства Этикон Эндо-Серджери, Эл-Эл-Си, США, РУ № ФСЗ 2012/11599.</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Как указано производителем - применение МИ с неавторизованными медицинскими изделиями других производителей, а также с недоброкачественными и/или контрафактными медицинскими изделиями может привести к потере технических и эксплуатационных свойств Генератора 611, а также причинению вреда жизни, здоровью пациентов и медицинских работников.</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руководства пользователя Генератора 611, описывается совместная работа только с медицинскими изделиями «Гармоник» и «Энсил».</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Таким образом, Скальпель ультразвуковой одноразовый модели С83605Н С82305Н С81405Н С83605Р С82305Р С81405Р (РУ РЗН 2020/10213, производства «Рич Сердикал, Инк.», Китай) не может быть признан совместимым с имеющимся у Заказчика Генератора 611 по причине отсутствия в эксплуатационной и технической документации производителя Генератора 611 указание на совместимость с данным изделием.</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Также согласно письму Росздравнадзора от 22.05.2023 № 01И-400/23 «О безопасности медицинских изделий», медицинское изделие «Скальпель ультразвуковой одноразовый, в вариантах исполнения», производства «Рич Серджикал, Инк.», Китай, регистрационное удостоверение № РЗН 2020/10213 от 14.09.2022, совместимо с медицинским изделием «Генератор электрохирургический, ультразвуковой С8и8 6000», производства «Рич Серджикал, Инк.», Китай, регистрационное удостоверение № РЗН 2020/10143 от 14.09.2022, срок действия не ограничен - возможность совместного применения Медицинского изделия с медицинским изделием «Генератор электрохирургический, ультразвуковой 611, с принадлежностями", производства «Этикон Эндо-Серджери, Эл-Эл-Си», США, регистрационное удостоверение № ФСЗ 2012/11599 от 29.08.2022, срок действия не ограничен, не подтверждена.</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указал, что согласно инструкции по применению Скальпеля ультразвукового одноразового, модели С83605Н, С82305Н, СВ1405Н, С83605Р, С82305Р, С81405Р производства КеасЪ 8шд1са1, 1пс (РУ от 10 ноября 2023 года РЗН № 2020/10213) скальпели используются совместно с генераторами, зарегистрированными на территории РФ*:</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1. «Генератор электрохирургический, ультразвуковой 611, с принадлежностями», производства «Этикон Эндо-Серджери, Эл-Эл-Си» США, 1Л1псоп Епдо-8игдегу, ЕЬС, 475 Са11е С, 6иаупаЪо, РиеЛо К!со 00969, и8А (Регистрационное удостоверение № ФСЗ 2012/11599).</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2. «Генератор электрохирургический, ультразвуковой С8и8 6000», производства компании «Рич Сёрджикал, Инк», Китай, КеасЪ 8игц1са1, 1пс., 120 Хтхтд РоасР А'е^1 /опе, ТЕПЛ, 300462 Т1ап|т, С1ипа (Регистрационное удостоверение № Р3Н 2020/10143).</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При этом после письма Росздравнадзора от 22.05.2023 № 01И-400/23 производителем внесены изменения в регистрационное досье и инструкция на медицинское изделие, размещенная вместе с регистрационным удостоверением от 10.11.2023, содержит информацию о совместимости с «Генератор электрохирургический, ультразвуковой 611, с принадлежностями», производства «Этикон Эндо-Серджери, Эл-Эл-Си» США, Е1Ысоп Епдо-Зигдегу, ^^С, 475 Са11е С, биаупаЪо, Риег!о В1со 00969, ША (Регистрационное удостоверение № ФСЗ 2012/11599).</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Изучив представленные документы и сведения, Комиссия установила следующее.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силу ч.4 ст.38 Федерального закона «Об основах охраны здоровья граждан в Российской Федерации» от 21.11.2011 №323-ФЗ (далее — 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за исключением случаев прямо предусмотренных законом, является регистрационное удостоверение.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При этом п.4 Правил в том числе определены следующие определения:</w:t>
      </w:r>
    </w:p>
    <w:p>
      <w:pPr>
        <w:pStyle w:val="Style9"/>
        <w:keepNext w:val="0"/>
        <w:keepLines w:val="0"/>
        <w:widowControl w:val="0"/>
        <w:numPr>
          <w:ilvl w:val="0"/>
          <w:numId w:val="3"/>
        </w:numPr>
        <w:shd w:val="clear" w:color="auto" w:fill="auto"/>
        <w:tabs>
          <w:tab w:pos="1147" w:val="left"/>
        </w:tabs>
        <w:bidi w:val="0"/>
        <w:spacing w:before="0" w:after="0" w:line="228" w:lineRule="auto"/>
        <w:ind w:left="0" w:right="0" w:firstLine="880"/>
        <w:jc w:val="both"/>
      </w:pPr>
      <w:r>
        <w:rPr>
          <w:color w:val="000000"/>
          <w:spacing w:val="0"/>
          <w:w w:val="100"/>
          <w:position w:val="0"/>
          <w:shd w:val="clear" w:color="auto" w:fill="auto"/>
          <w:lang w:val="ru-RU" w:eastAsia="ru-RU" w:bidi="ru-RU"/>
        </w:rPr>
        <w:t>«регистрационное досье» - комплект документов, представляемых для государственной регистрации, внесения изменений в такие документы, а также копии решений, принятых регистрирующим органом в отношении конкретного медицинского изделия;</w:t>
      </w:r>
    </w:p>
    <w:p>
      <w:pPr>
        <w:pStyle w:val="Style9"/>
        <w:keepNext w:val="0"/>
        <w:keepLines w:val="0"/>
        <w:widowControl w:val="0"/>
        <w:numPr>
          <w:ilvl w:val="0"/>
          <w:numId w:val="3"/>
        </w:numPr>
        <w:shd w:val="clear" w:color="auto" w:fill="auto"/>
        <w:tabs>
          <w:tab w:pos="1147" w:val="left"/>
        </w:tabs>
        <w:bidi w:val="0"/>
        <w:spacing w:before="0" w:after="0" w:line="226" w:lineRule="auto"/>
        <w:ind w:left="0" w:right="0" w:firstLine="700"/>
        <w:jc w:val="both"/>
        <w:sectPr>
          <w:footnotePr>
            <w:pos w:val="pageBottom"/>
            <w:numFmt w:val="decimal"/>
            <w:numRestart w:val="continuous"/>
          </w:footnotePr>
          <w:type w:val="continuous"/>
          <w:pgSz w:w="11900" w:h="16840"/>
          <w:pgMar w:top="1010" w:right="538" w:bottom="970" w:left="1104" w:header="0" w:footer="3" w:gutter="0"/>
          <w:cols w:space="720"/>
          <w:noEndnote/>
          <w:rtlGutter w:val="0"/>
          <w:docGrid w:linePitch="360"/>
        </w:sectPr>
      </w:pPr>
      <w:r>
        <w:rPr>
          <w:color w:val="000000"/>
          <w:spacing w:val="0"/>
          <w:w w:val="100"/>
          <w:position w:val="0"/>
          <w:shd w:val="clear" w:color="auto" w:fill="auto"/>
          <w:lang w:val="ru-RU" w:eastAsia="ru-RU" w:bidi="ru-RU"/>
        </w:rPr>
        <w:t>«техническая документация производителя (изготовителя)» - документы, регламентирующие конструкцию медицинского изделия, устанавливающие</w:t>
      </w:r>
    </w:p>
    <w:p>
      <w:pPr>
        <w:pStyle w:val="Style9"/>
        <w:keepNext w:val="0"/>
        <w:keepLines w:val="0"/>
        <w:widowControl w:val="0"/>
        <w:shd w:val="clear" w:color="auto" w:fill="auto"/>
        <w:bidi w:val="0"/>
        <w:spacing w:before="0" w:after="0" w:line="228" w:lineRule="auto"/>
        <w:ind w:left="0" w:right="0" w:firstLine="0"/>
        <w:jc w:val="both"/>
      </w:pPr>
      <w:r>
        <w:rPr>
          <w:color w:val="000000"/>
          <w:spacing w:val="0"/>
          <w:w w:val="100"/>
          <w:position w:val="0"/>
          <w:shd w:val="clear" w:color="auto" w:fill="auto"/>
          <w:lang w:val="ru-RU" w:eastAsia="ru-RU" w:bidi="ru-RU"/>
        </w:rPr>
        <w:t>технические требования и содержащие данные для его разработки, производства, применения, эксплуатации, технического обслуживания, ремонта, утилизации или уничтожения;</w:t>
      </w:r>
    </w:p>
    <w:p>
      <w:pPr>
        <w:pStyle w:val="Style9"/>
        <w:keepNext w:val="0"/>
        <w:keepLines w:val="0"/>
        <w:widowControl w:val="0"/>
        <w:numPr>
          <w:ilvl w:val="0"/>
          <w:numId w:val="3"/>
        </w:numPr>
        <w:shd w:val="clear" w:color="auto" w:fill="auto"/>
        <w:tabs>
          <w:tab w:pos="1083"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«нормативная документация» - документы, регламентирующие требования безопасности, качества, а также предполагаемую эффективность предусмотренного применения и методы контроля соответствия медицинского изделия этим требованиям;</w:t>
      </w:r>
    </w:p>
    <w:p>
      <w:pPr>
        <w:pStyle w:val="Style9"/>
        <w:keepNext w:val="0"/>
        <w:keepLines w:val="0"/>
        <w:widowControl w:val="0"/>
        <w:numPr>
          <w:ilvl w:val="0"/>
          <w:numId w:val="3"/>
        </w:numPr>
        <w:shd w:val="clear" w:color="auto" w:fill="auto"/>
        <w:tabs>
          <w:tab w:pos="1083" w:val="left"/>
        </w:tabs>
        <w:bidi w:val="0"/>
        <w:spacing w:before="0" w:after="0" w:line="228" w:lineRule="auto"/>
        <w:ind w:left="0" w:right="0" w:firstLine="700"/>
        <w:jc w:val="both"/>
      </w:pPr>
      <w:r>
        <w:rPr>
          <w:color w:val="000000"/>
          <w:spacing w:val="0"/>
          <w:w w:val="100"/>
          <w:position w:val="0"/>
          <w:shd w:val="clear" w:color="auto" w:fill="auto"/>
          <w:lang w:val="ru-RU" w:eastAsia="ru-RU" w:bidi="ru-RU"/>
        </w:rPr>
        <w:t>«эксплуатационная документация производителя (изготовителя)» -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пп.«б» - «д» п.10 Правил для государственной регистрации медицинского изделия представляются в том числе такие документы как:</w:t>
      </w:r>
    </w:p>
    <w:p>
      <w:pPr>
        <w:pStyle w:val="Style9"/>
        <w:keepNext w:val="0"/>
        <w:keepLines w:val="0"/>
        <w:widowControl w:val="0"/>
        <w:numPr>
          <w:ilvl w:val="0"/>
          <w:numId w:val="3"/>
        </w:numPr>
        <w:shd w:val="clear" w:color="auto" w:fill="auto"/>
        <w:tabs>
          <w:tab w:pos="1847" w:val="left"/>
        </w:tabs>
        <w:bidi w:val="0"/>
        <w:spacing w:before="0" w:after="0" w:line="228" w:lineRule="auto"/>
        <w:ind w:left="0" w:right="0" w:firstLine="700"/>
        <w:jc w:val="both"/>
      </w:pPr>
      <w:r>
        <w:rPr>
          <w:color w:val="000000"/>
          <w:spacing w:val="0"/>
          <w:w w:val="100"/>
          <w:position w:val="0"/>
          <w:shd w:val="clear" w:color="auto" w:fill="auto"/>
          <w:lang w:val="ru-RU" w:eastAsia="ru-RU" w:bidi="ru-RU"/>
        </w:rPr>
        <w:t>сведения о нормативной документации на медицинское изделие;</w:t>
      </w:r>
    </w:p>
    <w:p>
      <w:pPr>
        <w:pStyle w:val="Style9"/>
        <w:keepNext w:val="0"/>
        <w:keepLines w:val="0"/>
        <w:widowControl w:val="0"/>
        <w:numPr>
          <w:ilvl w:val="0"/>
          <w:numId w:val="3"/>
        </w:numPr>
        <w:shd w:val="clear" w:color="auto" w:fill="auto"/>
        <w:tabs>
          <w:tab w:pos="108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техническая документация производителя (изготовителя) на медицинское изделие;</w:t>
      </w:r>
    </w:p>
    <w:p>
      <w:pPr>
        <w:pStyle w:val="Style9"/>
        <w:keepNext w:val="0"/>
        <w:keepLines w:val="0"/>
        <w:widowControl w:val="0"/>
        <w:numPr>
          <w:ilvl w:val="0"/>
          <w:numId w:val="3"/>
        </w:numPr>
        <w:shd w:val="clear" w:color="auto" w:fill="auto"/>
        <w:tabs>
          <w:tab w:pos="108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9"/>
        <w:keepNext w:val="0"/>
        <w:keepLines w:val="0"/>
        <w:widowControl w:val="0"/>
        <w:numPr>
          <w:ilvl w:val="0"/>
          <w:numId w:val="3"/>
        </w:numPr>
        <w:shd w:val="clear" w:color="auto" w:fill="auto"/>
        <w:tabs>
          <w:tab w:pos="108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 xml:space="preserve">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18 </w:t>
      </w:r>
      <w:r>
        <w:rPr>
          <w:smallCaps/>
          <w:color w:val="000000"/>
          <w:spacing w:val="0"/>
          <w:w w:val="100"/>
          <w:position w:val="0"/>
          <w:shd w:val="clear" w:color="auto" w:fill="auto"/>
          <w:lang w:val="ru-RU" w:eastAsia="ru-RU" w:bidi="ru-RU"/>
        </w:rPr>
        <w:t>х</w:t>
      </w:r>
      <w:r>
        <w:rPr>
          <w:color w:val="000000"/>
          <w:spacing w:val="0"/>
          <w:w w:val="100"/>
          <w:position w:val="0"/>
          <w:shd w:val="clear" w:color="auto" w:fill="auto"/>
          <w:lang w:val="ru-RU" w:eastAsia="ru-RU" w:bidi="ru-RU"/>
        </w:rPr>
        <w:t xml:space="preserve"> 24 сантиметра).</w:t>
      </w:r>
    </w:p>
    <w:p>
      <w:pPr>
        <w:pStyle w:val="Style9"/>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ч.11 ст.48 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9"/>
        <w:keepNext w:val="0"/>
        <w:keepLines w:val="0"/>
        <w:widowControl w:val="0"/>
        <w:numPr>
          <w:ilvl w:val="0"/>
          <w:numId w:val="5"/>
        </w:numPr>
        <w:shd w:val="clear" w:color="auto" w:fill="auto"/>
        <w:tabs>
          <w:tab w:pos="1097"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медицинского изделия;</w:t>
      </w:r>
    </w:p>
    <w:p>
      <w:pPr>
        <w:pStyle w:val="Style9"/>
        <w:keepNext w:val="0"/>
        <w:keepLines w:val="0"/>
        <w:widowControl w:val="0"/>
        <w:numPr>
          <w:ilvl w:val="0"/>
          <w:numId w:val="5"/>
        </w:numPr>
        <w:shd w:val="clear" w:color="auto" w:fill="auto"/>
        <w:tabs>
          <w:tab w:pos="110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5"/>
        </w:numPr>
        <w:shd w:val="clear" w:color="auto" w:fill="auto"/>
        <w:tabs>
          <w:tab w:pos="111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назначение медицинского изделия, установленное производителем;</w:t>
      </w:r>
    </w:p>
    <w:p>
      <w:pPr>
        <w:pStyle w:val="Style9"/>
        <w:keepNext w:val="0"/>
        <w:keepLines w:val="0"/>
        <w:widowControl w:val="0"/>
        <w:numPr>
          <w:ilvl w:val="0"/>
          <w:numId w:val="5"/>
        </w:numPr>
        <w:shd w:val="clear" w:color="auto" w:fill="auto"/>
        <w:tabs>
          <w:tab w:pos="112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вид медицинского изделия;</w:t>
      </w:r>
    </w:p>
    <w:p>
      <w:pPr>
        <w:pStyle w:val="Style9"/>
        <w:keepNext w:val="0"/>
        <w:keepLines w:val="0"/>
        <w:widowControl w:val="0"/>
        <w:numPr>
          <w:ilvl w:val="0"/>
          <w:numId w:val="5"/>
        </w:numPr>
        <w:shd w:val="clear" w:color="auto" w:fill="auto"/>
        <w:tabs>
          <w:tab w:pos="1111"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класс потенциального риска применения медицинского изделия;</w:t>
      </w:r>
    </w:p>
    <w:p>
      <w:pPr>
        <w:pStyle w:val="Style9"/>
        <w:keepNext w:val="0"/>
        <w:keepLines w:val="0"/>
        <w:widowControl w:val="0"/>
        <w:numPr>
          <w:ilvl w:val="0"/>
          <w:numId w:val="5"/>
        </w:numPr>
        <w:shd w:val="clear" w:color="auto" w:fill="auto"/>
        <w:tabs>
          <w:tab w:pos="109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код Общероссийского классификатора продукции по видам экономической деятельности;</w:t>
      </w:r>
    </w:p>
    <w:p>
      <w:pPr>
        <w:pStyle w:val="Style9"/>
        <w:keepNext w:val="0"/>
        <w:keepLines w:val="0"/>
        <w:widowControl w:val="0"/>
        <w:numPr>
          <w:ilvl w:val="0"/>
          <w:numId w:val="5"/>
        </w:numPr>
        <w:shd w:val="clear" w:color="auto" w:fill="auto"/>
        <w:tabs>
          <w:tab w:pos="1098"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pPr>
        <w:pStyle w:val="Style9"/>
        <w:keepNext w:val="0"/>
        <w:keepLines w:val="0"/>
        <w:widowControl w:val="0"/>
        <w:numPr>
          <w:ilvl w:val="0"/>
          <w:numId w:val="5"/>
        </w:numPr>
        <w:shd w:val="clear" w:color="auto" w:fill="auto"/>
        <w:tabs>
          <w:tab w:pos="1093" w:val="left"/>
        </w:tabs>
        <w:bidi w:val="0"/>
        <w:spacing w:before="0" w:after="0" w:line="338"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наименование и место нахождения организации - производителя (изготовителя) медицинского изделия или фамилия, имя и (если имеется) отчество, </w:t>
      </w:r>
      <w:r>
        <w:rPr>
          <w:rFonts w:ascii="Cambria" w:eastAsia="Cambria" w:hAnsi="Cambria" w:cs="Cambria"/>
          <w:color w:val="000000"/>
          <w:spacing w:val="0"/>
          <w:w w:val="100"/>
          <w:position w:val="0"/>
          <w:sz w:val="22"/>
          <w:szCs w:val="22"/>
          <w:shd w:val="clear" w:color="auto" w:fill="auto"/>
          <w:lang w:val="ru-RU" w:eastAsia="ru-RU" w:bidi="ru-RU"/>
        </w:rPr>
        <w:t>2024-47360</w:t>
      </w:r>
    </w:p>
    <w:p>
      <w:pPr>
        <w:pStyle w:val="Style9"/>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место жительства индивидуального предпринимателя - производителя (изготовителя) медицинского изделия;</w:t>
      </w:r>
    </w:p>
    <w:p>
      <w:pPr>
        <w:pStyle w:val="Style9"/>
        <w:keepNext w:val="0"/>
        <w:keepLines w:val="0"/>
        <w:widowControl w:val="0"/>
        <w:numPr>
          <w:ilvl w:val="0"/>
          <w:numId w:val="5"/>
        </w:numPr>
        <w:shd w:val="clear" w:color="auto" w:fill="auto"/>
        <w:tabs>
          <w:tab w:pos="1108"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адрес места производства или изготовления медицинского изделия;</w:t>
      </w:r>
    </w:p>
    <w:p>
      <w:pPr>
        <w:pStyle w:val="Style9"/>
        <w:keepNext w:val="0"/>
        <w:keepLines w:val="0"/>
        <w:widowControl w:val="0"/>
        <w:numPr>
          <w:ilvl w:val="0"/>
          <w:numId w:val="5"/>
        </w:numPr>
        <w:shd w:val="clear" w:color="auto" w:fill="auto"/>
        <w:tabs>
          <w:tab w:pos="1228" w:val="left"/>
        </w:tabs>
        <w:bidi w:val="0"/>
        <w:spacing w:before="0" w:after="0" w:line="252" w:lineRule="auto"/>
        <w:ind w:left="0" w:right="0" w:firstLine="720"/>
        <w:jc w:val="both"/>
      </w:pPr>
      <w:r>
        <w:rPr>
          <w:color w:val="000000"/>
          <w:spacing w:val="0"/>
          <w:w w:val="100"/>
          <w:position w:val="0"/>
          <w:shd w:val="clear" w:color="auto" w:fill="auto"/>
          <w:lang w:val="ru-RU" w:eastAsia="ru-RU" w:bidi="ru-RU"/>
        </w:rPr>
        <w:t>сведения о взаимозаменяемых медицинских изделиях;</w:t>
      </w:r>
    </w:p>
    <w:p>
      <w:pPr>
        <w:pStyle w:val="Style9"/>
        <w:keepNext w:val="0"/>
        <w:keepLines w:val="0"/>
        <w:widowControl w:val="0"/>
        <w:numPr>
          <w:ilvl w:val="0"/>
          <w:numId w:val="5"/>
        </w:numPr>
        <w:shd w:val="clear" w:color="auto" w:fill="auto"/>
        <w:tabs>
          <w:tab w:pos="1219"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иные сведения, определяемые Правительством Российской Федерации.</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Согласно п.6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п.1 постановления Правительства РФ от 30.09.2021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 Правила ведения реестра медицинских изделий) Реестр медицинских изделий содержит следующие сведения об изделии:</w:t>
      </w:r>
    </w:p>
    <w:p>
      <w:pPr>
        <w:pStyle w:val="Style9"/>
        <w:keepNext w:val="0"/>
        <w:keepLines w:val="0"/>
        <w:widowControl w:val="0"/>
        <w:numPr>
          <w:ilvl w:val="0"/>
          <w:numId w:val="7"/>
        </w:numPr>
        <w:shd w:val="clear" w:color="auto" w:fill="auto"/>
        <w:tabs>
          <w:tab w:pos="110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наименование медицинского изделия;</w:t>
      </w:r>
    </w:p>
    <w:p>
      <w:pPr>
        <w:pStyle w:val="Style9"/>
        <w:keepNext w:val="0"/>
        <w:keepLines w:val="0"/>
        <w:widowControl w:val="0"/>
        <w:numPr>
          <w:ilvl w:val="0"/>
          <w:numId w:val="7"/>
        </w:numPr>
        <w:shd w:val="clear" w:color="auto" w:fill="auto"/>
        <w:tabs>
          <w:tab w:pos="110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9"/>
        <w:keepNext w:val="0"/>
        <w:keepLines w:val="0"/>
        <w:widowControl w:val="0"/>
        <w:numPr>
          <w:ilvl w:val="0"/>
          <w:numId w:val="7"/>
        </w:numPr>
        <w:shd w:val="clear" w:color="auto" w:fill="auto"/>
        <w:tabs>
          <w:tab w:pos="1104"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назначение медицинского изделия, установленное производителем;</w:t>
      </w:r>
    </w:p>
    <w:p>
      <w:pPr>
        <w:pStyle w:val="Style9"/>
        <w:keepNext w:val="0"/>
        <w:keepLines w:val="0"/>
        <w:widowControl w:val="0"/>
        <w:numPr>
          <w:ilvl w:val="0"/>
          <w:numId w:val="7"/>
        </w:numPr>
        <w:shd w:val="clear" w:color="auto" w:fill="auto"/>
        <w:tabs>
          <w:tab w:pos="110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9"/>
        <w:keepNext w:val="0"/>
        <w:keepLines w:val="0"/>
        <w:widowControl w:val="0"/>
        <w:numPr>
          <w:ilvl w:val="0"/>
          <w:numId w:val="7"/>
        </w:numPr>
        <w:shd w:val="clear" w:color="auto" w:fill="auto"/>
        <w:tabs>
          <w:tab w:pos="110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класс потенциального риска применения медицинского изделия в соответствии с номенклатурной классификацией медицинских изделий;</w:t>
      </w:r>
    </w:p>
    <w:p>
      <w:pPr>
        <w:pStyle w:val="Style9"/>
        <w:keepNext w:val="0"/>
        <w:keepLines w:val="0"/>
        <w:widowControl w:val="0"/>
        <w:numPr>
          <w:ilvl w:val="0"/>
          <w:numId w:val="7"/>
        </w:numPr>
        <w:shd w:val="clear" w:color="auto" w:fill="auto"/>
        <w:tabs>
          <w:tab w:pos="110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код Общероссийского классификатора продукции по видам экономической деятельности;</w:t>
      </w:r>
    </w:p>
    <w:p>
      <w:pPr>
        <w:pStyle w:val="Style9"/>
        <w:keepNext w:val="0"/>
        <w:keepLines w:val="0"/>
        <w:widowControl w:val="0"/>
        <w:numPr>
          <w:ilvl w:val="0"/>
          <w:numId w:val="7"/>
        </w:numPr>
        <w:shd w:val="clear" w:color="auto" w:fill="auto"/>
        <w:tabs>
          <w:tab w:pos="1123"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наименование и место нахождения юридического лица - уполномоченного представителя производителя (изготовителя) медицинского изделия или фамилия, имя и отчество (если имеется), место жительства индивидуального предпринимателя - уполномоченного представителя производителя (изготовителя) медицинского изделия;</w:t>
      </w:r>
    </w:p>
    <w:p>
      <w:pPr>
        <w:pStyle w:val="Style9"/>
        <w:keepNext w:val="0"/>
        <w:keepLines w:val="0"/>
        <w:widowControl w:val="0"/>
        <w:numPr>
          <w:ilvl w:val="0"/>
          <w:numId w:val="7"/>
        </w:numPr>
        <w:shd w:val="clear" w:color="auto" w:fill="auto"/>
        <w:tabs>
          <w:tab w:pos="1102" w:val="left"/>
        </w:tabs>
        <w:bidi w:val="0"/>
        <w:spacing w:before="0" w:after="0" w:line="283" w:lineRule="auto"/>
        <w:ind w:left="0" w:right="0" w:firstLine="720"/>
        <w:jc w:val="both"/>
        <w:rPr>
          <w:sz w:val="22"/>
          <w:szCs w:val="22"/>
        </w:rPr>
        <w:sectPr>
          <w:headerReference w:type="default" r:id="rId13"/>
          <w:footerReference w:type="default" r:id="rId14"/>
          <w:footnotePr>
            <w:pos w:val="pageBottom"/>
            <w:numFmt w:val="decimal"/>
            <w:numRestart w:val="continuous"/>
          </w:footnotePr>
          <w:pgSz w:w="11900" w:h="16840"/>
          <w:pgMar w:top="1162" w:right="535" w:bottom="615" w:left="1093" w:header="0" w:footer="18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наименование и место нахождения организации - производителя (изготовителя) медицинского изделия или фамилия, имя, отчество (если имеется), место жительства индивидуального предпринимателя - производителя </w:t>
      </w:r>
      <w:r>
        <w:rPr>
          <w:rFonts w:ascii="Cambria" w:eastAsia="Cambria" w:hAnsi="Cambria" w:cs="Cambria"/>
          <w:color w:val="000000"/>
          <w:spacing w:val="0"/>
          <w:w w:val="100"/>
          <w:position w:val="0"/>
          <w:sz w:val="22"/>
          <w:szCs w:val="22"/>
          <w:shd w:val="clear" w:color="auto" w:fill="auto"/>
          <w:lang w:val="ru-RU" w:eastAsia="ru-RU" w:bidi="ru-RU"/>
        </w:rPr>
        <w:t>2024-47360</w:t>
      </w:r>
    </w:p>
    <w:p>
      <w:pPr>
        <w:pStyle w:val="Style9"/>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(изготовителя) медицинского изделия;</w:t>
      </w:r>
    </w:p>
    <w:p>
      <w:pPr>
        <w:pStyle w:val="Style9"/>
        <w:keepNext w:val="0"/>
        <w:keepLines w:val="0"/>
        <w:widowControl w:val="0"/>
        <w:numPr>
          <w:ilvl w:val="0"/>
          <w:numId w:val="7"/>
        </w:numPr>
        <w:shd w:val="clear" w:color="auto" w:fill="auto"/>
        <w:tabs>
          <w:tab w:pos="1097"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адрес места производства или изготовления медицинского изделия;</w:t>
      </w:r>
    </w:p>
    <w:p>
      <w:pPr>
        <w:pStyle w:val="Style9"/>
        <w:keepNext w:val="0"/>
        <w:keepLines w:val="0"/>
        <w:widowControl w:val="0"/>
        <w:numPr>
          <w:ilvl w:val="0"/>
          <w:numId w:val="7"/>
        </w:numPr>
        <w:shd w:val="clear" w:color="auto" w:fill="auto"/>
        <w:tabs>
          <w:tab w:pos="1083" w:val="left"/>
        </w:tabs>
        <w:bidi w:val="0"/>
        <w:spacing w:before="0" w:after="0" w:line="252" w:lineRule="auto"/>
        <w:ind w:left="0" w:right="0" w:firstLine="720"/>
        <w:jc w:val="both"/>
      </w:pPr>
      <w:r>
        <w:rPr>
          <w:color w:val="000000"/>
          <w:spacing w:val="0"/>
          <w:w w:val="100"/>
          <w:position w:val="0"/>
          <w:shd w:val="clear" w:color="auto" w:fill="auto"/>
          <w:lang w:val="ru-RU" w:eastAsia="ru-RU" w:bidi="ru-RU"/>
        </w:rPr>
        <w:t>сведения о взаимозаменяемых медицинских изделиях;</w:t>
      </w:r>
    </w:p>
    <w:p>
      <w:pPr>
        <w:pStyle w:val="Style9"/>
        <w:keepNext w:val="0"/>
        <w:keepLines w:val="0"/>
        <w:widowControl w:val="0"/>
        <w:numPr>
          <w:ilvl w:val="0"/>
          <w:numId w:val="7"/>
        </w:numPr>
        <w:shd w:val="clear" w:color="auto" w:fill="auto"/>
        <w:tabs>
          <w:tab w:pos="109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фотографические изображения общего вида медицинского изделия;</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м) фотографические изображения электронного носителя и интерфейса программного обеспечения (для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(в случае, если имеется);</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н) электронный образ эксплуатационной документации производителя (изготовителя) на медицинское изделие;</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о) электронный образ регистрационного удостоверения на медицинское изделие.</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 xml:space="preserve">Исходя из вышеизложенного Комиссия Управления приходит к выводу, что в Реестре медицинских изделий подлежит размещению лишь эксплуатационная документация производителя (изготовителя) на медицинское изделие, также представляемая при регистрации медицинского изделия, при этом </w:t>
      </w:r>
      <w:r>
        <w:rPr>
          <w:b/>
          <w:bCs/>
          <w:i/>
          <w:iCs/>
          <w:color w:val="000000"/>
          <w:spacing w:val="0"/>
          <w:w w:val="100"/>
          <w:position w:val="0"/>
          <w:shd w:val="clear" w:color="auto" w:fill="auto"/>
          <w:lang w:val="ru-RU" w:eastAsia="ru-RU" w:bidi="ru-RU"/>
        </w:rPr>
        <w:t>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Также пп.«а» п.23 Правил установлено, что основанием для вынесения экспертным учреждением заключения о невозможности проведения клинических испытаний медицинского изделия или невозможности государственной регистрации медицинского изделия является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Таким образом, исходя из официально зарегистрированных Росздравнадзором технических документов на медицинское изделие следует его совместимость с генератором 611.</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 xml:space="preserve">Более того, согласно позиции Росздравнадзора, изложенной в письме от 31.03.2023 № 10-18368/23 в соответствии с пунктом 11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утвержденных постановлением Правительства Российской Федерации от 01.04.2022 № 552 (далее - Особенности),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w:t>
      </w:r>
      <w:r>
        <w:rPr>
          <w:color w:val="000000"/>
          <w:spacing w:val="0"/>
          <w:w w:val="100"/>
          <w:position w:val="0"/>
          <w:shd w:val="clear" w:color="auto" w:fill="auto"/>
          <w:lang w:val="ru-RU" w:eastAsia="ru-RU" w:bidi="ru-RU"/>
        </w:rPr>
        <w:t>материал.</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соответствии с пунктом 11(1) Особенностей допускается проведение технического обслуживания медицинских изделий с использованием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 токсикологическими исследованиями, проведенными федеральным государственным бюджетным учреждением «Всероссийский научно</w:t>
        <w:softHyphen/>
        <w:t>исследовательский и испытательный институт медицинской техники» Федеральной службы по надзору в сфере здравоохранения, а также клиническими испытаниями, проведенными в порядке, установленном в соответствии с ч. 8 ст. 38 Закона об основах охраны здоровья граждан.</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Закона о контрактной системе.</w:t>
      </w:r>
    </w:p>
    <w:p>
      <w:pPr>
        <w:pStyle w:val="Style9"/>
        <w:keepNext w:val="0"/>
        <w:keepLines w:val="0"/>
        <w:widowControl w:val="0"/>
        <w:shd w:val="clear" w:color="auto" w:fill="auto"/>
        <w:bidi w:val="0"/>
        <w:spacing w:before="0" w:after="0" w:line="228" w:lineRule="auto"/>
        <w:ind w:left="0" w:right="0" w:firstLine="82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9"/>
        </w:numPr>
        <w:shd w:val="clear" w:color="auto" w:fill="auto"/>
        <w:tabs>
          <w:tab w:pos="1056"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9"/>
        </w:numPr>
        <w:shd w:val="clear" w:color="auto" w:fill="auto"/>
        <w:tabs>
          <w:tab w:pos="1056"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9"/>
        </w:numPr>
        <w:shd w:val="clear" w:color="auto" w:fill="auto"/>
        <w:tabs>
          <w:tab w:pos="1056"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9"/>
        </w:numPr>
        <w:shd w:val="clear" w:color="auto" w:fill="auto"/>
        <w:tabs>
          <w:tab w:pos="1056"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9"/>
        </w:numPr>
        <w:shd w:val="clear" w:color="auto" w:fill="auto"/>
        <w:tabs>
          <w:tab w:pos="1756"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чч. 1 ст.</w:t>
      </w:r>
    </w:p>
    <w:p>
      <w:pPr>
        <w:pStyle w:val="Style9"/>
        <w:keepNext w:val="0"/>
        <w:keepLines w:val="0"/>
        <w:widowControl w:val="0"/>
        <w:shd w:val="clear" w:color="auto" w:fill="auto"/>
        <w:bidi w:val="0"/>
        <w:spacing w:before="0" w:after="0" w:line="228" w:lineRule="auto"/>
        <w:ind w:left="0" w:right="0" w:firstLine="0"/>
        <w:jc w:val="both"/>
      </w:pPr>
      <w:r>
        <w:rPr>
          <w:color w:val="000000"/>
          <w:spacing w:val="0"/>
          <w:w w:val="100"/>
          <w:position w:val="0"/>
          <w:shd w:val="clear" w:color="auto" w:fill="auto"/>
          <w:lang w:val="ru-RU" w:eastAsia="ru-RU" w:bidi="ru-RU"/>
        </w:rPr>
        <w:t>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9"/>
        </w:numPr>
        <w:shd w:val="clear" w:color="auto" w:fill="auto"/>
        <w:tabs>
          <w:tab w:pos="1057"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9"/>
        </w:numPr>
        <w:shd w:val="clear" w:color="auto" w:fill="auto"/>
        <w:tabs>
          <w:tab w:pos="1756"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предусмотренных ч.6 ст. 45 Закона о контрактной системе;</w:t>
      </w:r>
    </w:p>
    <w:p>
      <w:pPr>
        <w:pStyle w:val="Style9"/>
        <w:keepNext w:val="0"/>
        <w:keepLines w:val="0"/>
        <w:widowControl w:val="0"/>
        <w:numPr>
          <w:ilvl w:val="0"/>
          <w:numId w:val="9"/>
        </w:numPr>
        <w:shd w:val="clear" w:color="auto" w:fill="auto"/>
        <w:tabs>
          <w:tab w:pos="1057"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9"/>
        </w:numPr>
        <w:shd w:val="clear" w:color="auto" w:fill="auto"/>
        <w:tabs>
          <w:tab w:pos="1057" w:val="left"/>
        </w:tabs>
        <w:bidi w:val="0"/>
        <w:spacing w:before="0" w:after="0" w:line="228"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9"/>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довода жалобы и нарушении в действиях комиссии Заказчика пп. «а» п.1 ч.5 ст.49 Закона о контрактной системе, а также о наличии признаков состава административного правонарушения, ответственность за которое предусмотрено ч.2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28"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36" w:bottom="1277" w:left="1092"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57"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numPr>
          <w:ilvl w:val="0"/>
          <w:numId w:val="11"/>
        </w:numPr>
        <w:shd w:val="clear" w:color="auto" w:fill="auto"/>
        <w:tabs>
          <w:tab w:pos="1344" w:val="left"/>
        </w:tabs>
        <w:bidi w:val="0"/>
        <w:spacing w:before="0" w:after="0" w:line="226" w:lineRule="auto"/>
        <w:ind w:left="0" w:right="0" w:firstLine="860"/>
        <w:jc w:val="both"/>
      </w:pPr>
      <w:r>
        <w:rPr>
          <w:color w:val="000000"/>
          <w:spacing w:val="0"/>
          <w:w w:val="100"/>
          <w:position w:val="0"/>
          <w:shd w:val="clear" w:color="auto" w:fill="auto"/>
          <w:lang w:val="ru-RU" w:eastAsia="ru-RU" w:bidi="ru-RU"/>
        </w:rPr>
        <w:t>Признать жалобу ООО «Медкоминтер» на действия комиссии ГБУЗ «ГКБ № 52 ДЗМ» обоснованной.</w:t>
      </w:r>
    </w:p>
    <w:p>
      <w:pPr>
        <w:pStyle w:val="Style9"/>
        <w:keepNext w:val="0"/>
        <w:keepLines w:val="0"/>
        <w:widowControl w:val="0"/>
        <w:numPr>
          <w:ilvl w:val="0"/>
          <w:numId w:val="11"/>
        </w:numPr>
        <w:shd w:val="clear" w:color="auto" w:fill="auto"/>
        <w:tabs>
          <w:tab w:pos="1344"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Признать в действиях комиссии Заказчика нарушения пп. «а» п.1 ч.5 ст.49 Закона о контрактной системе.</w:t>
      </w:r>
    </w:p>
    <w:p>
      <w:pPr>
        <w:pStyle w:val="Style9"/>
        <w:keepNext w:val="0"/>
        <w:keepLines w:val="0"/>
        <w:widowControl w:val="0"/>
        <w:numPr>
          <w:ilvl w:val="0"/>
          <w:numId w:val="11"/>
        </w:numPr>
        <w:shd w:val="clear" w:color="auto" w:fill="auto"/>
        <w:tabs>
          <w:tab w:pos="1344"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1"/>
        </w:numPr>
        <w:shd w:val="clear" w:color="auto" w:fill="auto"/>
        <w:tabs>
          <w:tab w:pos="1344" w:val="left"/>
        </w:tabs>
        <w:bidi w:val="0"/>
        <w:spacing w:before="0" w:after="280" w:line="257"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28" w:lineRule="auto"/>
        <w:ind w:left="0" w:right="0" w:firstLine="8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2" w:bottom="2310" w:left="1106" w:header="0" w:footer="3" w:gutter="0"/>
          <w:cols w:space="720"/>
          <w:noEndnote/>
          <w:rtlGutter w:val="0"/>
          <w:docGrid w:linePitch="360"/>
        </w:sectPr>
      </w:pPr>
      <w:r>
        <mc:AlternateContent>
          <mc:Choice Requires="wps">
            <w:drawing>
              <wp:anchor distT="1143000" distB="359410" distL="0" distR="0" simplePos="0" relativeHeight="125829380" behindDoc="0" locked="0" layoutInCell="1" allowOverlap="1">
                <wp:simplePos x="0" y="0"/>
                <wp:positionH relativeFrom="page">
                  <wp:posOffset>735965</wp:posOffset>
                </wp:positionH>
                <wp:positionV relativeFrom="paragraph">
                  <wp:posOffset>1143000</wp:posOffset>
                </wp:positionV>
                <wp:extent cx="1850390" cy="250190"/>
                <wp:wrapTopAndBottom/>
                <wp:docPr id="19" name="Shape 19"/>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90.pt;width:145.70000000000002pt;height:19.699999999999999pt;z-index:-125829373;mso-wrap-distance-left:0;mso-wrap-distance-top:90.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179830" distB="0" distL="0" distR="1789430" simplePos="0" relativeHeight="125829382" behindDoc="0" locked="0" layoutInCell="1" allowOverlap="1">
            <wp:simplePos x="0" y="0"/>
            <wp:positionH relativeFrom="page">
              <wp:posOffset>3074035</wp:posOffset>
            </wp:positionH>
            <wp:positionV relativeFrom="paragraph">
              <wp:posOffset>1179830</wp:posOffset>
            </wp:positionV>
            <wp:extent cx="389890" cy="57277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1618615</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1.15000000000003pt;margin-top:127.45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1304925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102.75pt;width:135.84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0" distB="359410" distL="0" distR="0" simplePos="0" relativeHeight="125829383" behindDoc="0" locked="0" layoutInCell="1" allowOverlap="1">
                <wp:simplePos x="0" y="0"/>
                <wp:positionH relativeFrom="page">
                  <wp:posOffset>6185535</wp:posOffset>
                </wp:positionH>
                <wp:positionV relativeFrom="paragraph">
                  <wp:posOffset>1143000</wp:posOffset>
                </wp:positionV>
                <wp:extent cx="1029970" cy="250190"/>
                <wp:wrapTopAndBottom/>
                <wp:docPr id="27" name="Shape 27"/>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3" type="#_x0000_t202" style="position:absolute;margin-left:487.05000000000001pt;margin-top:90.pt;width:81.100000000000009pt;height:19.699999999999999pt;z-index:-125829370;mso-wrap-distance-left:0;mso-wrap-distance-top:90.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6"/>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 xml:space="preserve">000590946031СЕ073ВЕ5С506ЕЕ7501 </w:t>
      </w:r>
      <w:r>
        <w:rPr>
          <w:spacing w:val="0"/>
          <w:w w:val="100"/>
          <w:position w:val="0"/>
          <w:shd w:val="clear" w:color="auto" w:fill="auto"/>
          <w:lang w:val="ru-RU" w:eastAsia="ru-RU" w:bidi="ru-RU"/>
        </w:rPr>
        <w:t>0760</w:t>
      </w:r>
    </w:p>
    <w:p>
      <w:pPr>
        <w:pStyle w:val="Style26"/>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85" behindDoc="0" locked="0" layoutInCell="1" allowOverlap="1">
            <wp:simplePos x="0" y="0"/>
            <wp:positionH relativeFrom="page">
              <wp:posOffset>3073400</wp:posOffset>
            </wp:positionH>
            <wp:positionV relativeFrom="paragraph">
              <wp:posOffset>25400</wp:posOffset>
            </wp:positionV>
            <wp:extent cx="389890" cy="57277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3505"/>
                <wp:wrapNone/>
                <wp:docPr id="31" name="Shape 3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7E7E7"/>
                                <w:spacing w:val="0"/>
                                <w:w w:val="100"/>
                                <w:position w:val="0"/>
                                <w:shd w:val="clear" w:color="auto" w:fill="auto"/>
                                <w:lang w:val="ru-RU" w:eastAsia="ru-RU" w:bidi="ru-RU"/>
                              </w:rPr>
                              <w:t xml:space="preserve">СВЕДЕНИЯ </w:t>
                            </w:r>
                            <w:r>
                              <w:rPr>
                                <w:rFonts w:ascii="Arial" w:eastAsia="Arial" w:hAnsi="Arial" w:cs="Arial"/>
                                <w:color w:val="FFFFFF"/>
                                <w:spacing w:val="0"/>
                                <w:w w:val="100"/>
                                <w:position w:val="0"/>
                                <w:shd w:val="clear" w:color="auto" w:fill="auto"/>
                                <w:lang w:val="ru-RU" w:eastAsia="ru-RU" w:bidi="ru-RU"/>
                              </w:rPr>
                              <w:t xml:space="preserve">О </w:t>
                            </w:r>
                            <w:r>
                              <w:rPr>
                                <w:rFonts w:ascii="Arial" w:eastAsia="Arial" w:hAnsi="Arial" w:cs="Arial"/>
                                <w:color w:val="E7E7E7"/>
                                <w:spacing w:val="0"/>
                                <w:w w:val="100"/>
                                <w:position w:val="0"/>
                                <w:shd w:val="clear" w:color="auto" w:fill="auto"/>
                                <w:lang w:val="ru-RU" w:eastAsia="ru-RU" w:bidi="ru-RU"/>
                              </w:rPr>
                              <w:t xml:space="preserve">СЕРТИФИКАТЕ </w:t>
                            </w:r>
                            <w:r>
                              <w:rPr>
                                <w:rFonts w:ascii="Arial" w:eastAsia="Arial" w:hAnsi="Arial" w:cs="Arial"/>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7" type="#_x0000_t202" style="position:absolute;margin-left:281.10000000000002pt;margin-top:36.550000000000004pt;width:100.8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7E7E7"/>
                          <w:spacing w:val="0"/>
                          <w:w w:val="100"/>
                          <w:position w:val="0"/>
                          <w:shd w:val="clear" w:color="auto" w:fill="auto"/>
                          <w:lang w:val="ru-RU" w:eastAsia="ru-RU" w:bidi="ru-RU"/>
                        </w:rPr>
                        <w:t xml:space="preserve">СВЕДЕНИЯ </w:t>
                      </w:r>
                      <w:r>
                        <w:rPr>
                          <w:rFonts w:ascii="Arial" w:eastAsia="Arial" w:hAnsi="Arial" w:cs="Arial"/>
                          <w:color w:val="FFFFFF"/>
                          <w:spacing w:val="0"/>
                          <w:w w:val="100"/>
                          <w:position w:val="0"/>
                          <w:shd w:val="clear" w:color="auto" w:fill="auto"/>
                          <w:lang w:val="ru-RU" w:eastAsia="ru-RU" w:bidi="ru-RU"/>
                        </w:rPr>
                        <w:t xml:space="preserve">О </w:t>
                      </w:r>
                      <w:r>
                        <w:rPr>
                          <w:rFonts w:ascii="Arial" w:eastAsia="Arial" w:hAnsi="Arial" w:cs="Arial"/>
                          <w:color w:val="E7E7E7"/>
                          <w:spacing w:val="0"/>
                          <w:w w:val="100"/>
                          <w:position w:val="0"/>
                          <w:shd w:val="clear" w:color="auto" w:fill="auto"/>
                          <w:lang w:val="ru-RU" w:eastAsia="ru-RU" w:bidi="ru-RU"/>
                        </w:rPr>
                        <w:t xml:space="preserve">СЕРТИФИКАТЕ </w:t>
                      </w:r>
                      <w:r>
                        <w:rPr>
                          <w:rFonts w:ascii="Arial" w:eastAsia="Arial" w:hAnsi="Arial" w:cs="Arial"/>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153670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pt;margin-top:12.1pt;width:135.84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6"/>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526ССО2Г48634А0964757620Е6Е0АЕ90</w:t>
      </w:r>
    </w:p>
    <w:p>
      <w:pPr>
        <w:pStyle w:val="Style26"/>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82828"/>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86" behindDoc="0" locked="0" layoutInCell="1" allowOverlap="1">
            <wp:simplePos x="0" y="0"/>
            <wp:positionH relativeFrom="page">
              <wp:posOffset>3073400</wp:posOffset>
            </wp:positionH>
            <wp:positionV relativeFrom="paragraph">
              <wp:posOffset>25400</wp:posOffset>
            </wp:positionV>
            <wp:extent cx="389890" cy="57277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3569970</wp:posOffset>
                </wp:positionH>
                <wp:positionV relativeFrom="paragraph">
                  <wp:posOffset>464185</wp:posOffset>
                </wp:positionV>
                <wp:extent cx="1280160" cy="100330"/>
                <wp:wrapNone/>
                <wp:docPr id="37" name="Shape 3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1.10000000000002pt;margin-top:36.550000000000004pt;width:100.8pt;height:7.90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3524250</wp:posOffset>
                </wp:positionH>
                <wp:positionV relativeFrom="paragraph">
                  <wp:posOffset>150495</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5pt;margin-top:11.85pt;width:135.84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Сорбучева Мария Васильевна</w:t>
      </w:r>
    </w:p>
    <w:p>
      <w:pPr>
        <w:pStyle w:val="Style26"/>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00ЕЗВ7121</w:t>
      </w:r>
      <w:r>
        <w:rPr>
          <w:spacing w:val="0"/>
          <w:w w:val="100"/>
          <w:position w:val="0"/>
          <w:shd w:val="clear" w:color="auto" w:fill="auto"/>
          <w:lang w:val="ru-RU" w:eastAsia="ru-RU" w:bidi="ru-RU"/>
        </w:rPr>
        <w:t>8Р970424В4Э41С7997434Е304</w:t>
      </w:r>
    </w:p>
    <w:p>
      <w:pPr>
        <w:pStyle w:val="Style26"/>
        <w:keepNext w:val="0"/>
        <w:keepLines w:val="0"/>
        <w:widowControl w:val="0"/>
        <w:shd w:val="clear" w:color="auto" w:fill="auto"/>
        <w:bidi w:val="0"/>
        <w:spacing w:before="0" w:after="700" w:line="240" w:lineRule="auto"/>
        <w:ind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19.09.2024 </w:t>
      </w:r>
      <w:r>
        <w:rPr>
          <w:spacing w:val="0"/>
          <w:w w:val="100"/>
          <w:position w:val="0"/>
          <w:shd w:val="clear" w:color="auto" w:fill="auto"/>
          <w:lang w:val="ru-RU" w:eastAsia="ru-RU" w:bidi="ru-RU"/>
        </w:rPr>
        <w:t xml:space="preserve">по </w:t>
      </w:r>
      <w:r>
        <w:rPr>
          <w:color w:val="7E7E7E"/>
          <w:spacing w:val="0"/>
          <w:w w:val="100"/>
          <w:position w:val="0"/>
          <w:shd w:val="clear" w:color="auto" w:fill="auto"/>
          <w:lang w:val="ru-RU" w:eastAsia="ru-RU" w:bidi="ru-RU"/>
        </w:rPr>
        <w:t>13.12.2025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726440</wp:posOffset>
              </wp:positionH>
              <wp:positionV relativeFrom="page">
                <wp:posOffset>10116185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2024-47360</w:t>
                          </w:r>
                        </w:p>
                      </w:txbxContent>
                    </wps:txbx>
                    <wps:bodyPr wrap="none" lIns="0" tIns="0" rIns="0" bIns="0">
                      <a:spAutoFit/>
                    </wps:bodyPr>
                  </wps:wsp>
                </a:graphicData>
              </a:graphic>
            </wp:anchor>
          </w:drawing>
        </mc:Choice>
        <mc:Fallback>
          <w:pict>
            <v:shape id="_x0000_s1031" type="#_x0000_t202" style="position:absolute;margin-left:57.200000000000003pt;margin-top:796.55000000000007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2024-47360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2024-47360</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2024-47360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10116185</wp:posOffset>
              </wp:positionV>
              <wp:extent cx="722630" cy="100330"/>
              <wp:wrapNone/>
              <wp:docPr id="17" name="Shape 1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2024-47360</w:t>
                          </w:r>
                        </w:p>
                      </w:txbxContent>
                    </wps:txbx>
                    <wps:bodyPr wrap="none" lIns="0" tIns="0" rIns="0" bIns="0">
                      <a:spAutoFit/>
                    </wps:bodyPr>
                  </wps:wsp>
                </a:graphicData>
              </a:graphic>
            </wp:anchor>
          </w:drawing>
        </mc:Choice>
        <mc:Fallback>
          <w:pict>
            <v:shape id="_x0000_s1043" type="#_x0000_t202" style="position:absolute;margin-left:57.200000000000003pt;margin-top:796.55000000000007pt;width:56.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2024-47360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3902710</wp:posOffset>
              </wp:positionH>
              <wp:positionV relativeFrom="page">
                <wp:posOffset>476250</wp:posOffset>
              </wp:positionV>
              <wp:extent cx="113030" cy="103505"/>
              <wp:wrapNone/>
              <wp:docPr id="3" name="Shape 3"/>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30000000000001pt;margin-top:37.5pt;width:8.9000000000000004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3926205</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5000000000003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476250</wp:posOffset>
              </wp:positionV>
              <wp:extent cx="113030" cy="103505"/>
              <wp:wrapNone/>
              <wp:docPr id="15" name="Shape 15"/>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30000000000001pt;margin-top:37.5pt;width:8.9000000000000004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82828"/>
      <w:sz w:val="11"/>
      <w:szCs w:val="11"/>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5F5F5F"/>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82828"/>
      <w:sz w:val="11"/>
      <w:szCs w:val="11"/>
      <w:u w:val="none"/>
    </w:rPr>
  </w:style>
  <w:style w:type="paragraph" w:customStyle="1" w:styleId="Style26">
    <w:name w:val="Основной текст (2)"/>
    <w:basedOn w:val="Normal"/>
    <w:link w:val="CharStyle27"/>
    <w:pPr>
      <w:widowControl w:val="0"/>
      <w:shd w:val="clear" w:color="auto" w:fill="auto"/>
      <w:ind w:left="3820"/>
    </w:pPr>
    <w:rPr>
      <w:rFonts w:ascii="Arial" w:eastAsia="Arial" w:hAnsi="Arial" w:cs="Arial"/>
      <w:b w:val="0"/>
      <w:bCs w:val="0"/>
      <w:i w:val="0"/>
      <w:iCs w:val="0"/>
      <w:smallCaps w:val="0"/>
      <w:strike w:val="0"/>
      <w:color w:val="5F5F5F"/>
      <w:sz w:val="12"/>
      <w:szCs w:val="12"/>
      <w:u w:val="none"/>
    </w:rPr>
  </w:style>
  <w:style w:type="paragraph" w:customStyle="1" w:styleId="Style32">
    <w:name w:val="Основной текст (4)"/>
    <w:basedOn w:val="Normal"/>
    <w:link w:val="CharStyle33"/>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