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pStyle w:val="Style9"/>
        <w:keepNext w:val="0"/>
        <w:keepLines w:val="0"/>
        <w:widowControl w:val="0"/>
        <w:shd w:val="clear" w:color="auto" w:fill="auto"/>
        <w:bidi w:val="0"/>
        <w:spacing w:before="0" w:after="280" w:line="240" w:lineRule="auto"/>
        <w:ind w:left="1020" w:right="0" w:firstLine="0"/>
        <w:jc w:val="left"/>
      </w:pPr>
      <w:r>
        <mc:AlternateContent>
          <mc:Choice Requires="wps">
            <w:drawing>
              <wp:anchor distT="0" distB="2343785" distL="403860" distR="373380" simplePos="0" relativeHeight="125829378" behindDoc="0" locked="0" layoutInCell="1" allowOverlap="1">
                <wp:simplePos x="0" y="0"/>
                <wp:positionH relativeFrom="page">
                  <wp:posOffset>1016635</wp:posOffset>
                </wp:positionH>
                <wp:positionV relativeFrom="paragraph">
                  <wp:posOffset>50800</wp:posOffset>
                </wp:positionV>
                <wp:extent cx="2045335" cy="301625"/>
                <wp:wrapSquare wrapText="right"/>
                <wp:docPr id="7" name="Shape 7"/>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3" type="#_x0000_t202" style="position:absolute;margin-left:80.049999999999997pt;margin-top:4.pt;width:161.05000000000001pt;height:23.75pt;z-index:-125829375;mso-wrap-distance-left:31.800000000000001pt;mso-wrap-distance-right:29.400000000000002pt;mso-wrap-distance-bottom:184.55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423545" distB="813435" distL="193675" distR="193675" simplePos="0" relativeHeight="125829380" behindDoc="0" locked="0" layoutInCell="1" allowOverlap="1">
                <wp:simplePos x="0" y="0"/>
                <wp:positionH relativeFrom="page">
                  <wp:posOffset>806450</wp:posOffset>
                </wp:positionH>
                <wp:positionV relativeFrom="paragraph">
                  <wp:posOffset>474345</wp:posOffset>
                </wp:positionV>
                <wp:extent cx="2435225" cy="1408430"/>
                <wp:wrapSquare wrapText="right"/>
                <wp:docPr id="9" name="Shape 9"/>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08.10.2024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41614/24</w:t>
                            </w:r>
                          </w:p>
                        </w:txbxContent>
                      </wps:txbx>
                      <wps:bodyPr lIns="0" tIns="0" rIns="0" bIns="0">
                        <a:noAutoFit/>
                      </wps:bodyPr>
                    </wps:wsp>
                  </a:graphicData>
                </a:graphic>
              </wp:anchor>
            </w:drawing>
          </mc:Choice>
          <mc:Fallback>
            <w:pict>
              <v:shape id="_x0000_s1035" type="#_x0000_t202" style="position:absolute;margin-left:63.5pt;margin-top:37.350000000000001pt;width:191.75pt;height:110.90000000000001pt;z-index:-125829373;mso-wrap-distance-left:15.25pt;mso-wrap-distance-top:33.350000000000001pt;mso-wrap-distance-right:15.25pt;mso-wrap-distance-bottom:64.049999999999997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08.10.2024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41614/24</w:t>
                      </w:r>
                    </w:p>
                  </w:txbxContent>
                </v:textbox>
                <w10:wrap type="square" side="right" anchorx="page"/>
              </v:shape>
            </w:pict>
          </mc:Fallback>
        </mc:AlternateContent>
      </w:r>
      <w:r>
        <w:drawing>
          <wp:anchor distT="1947545" distB="0" distL="114300" distR="114300" simplePos="0" relativeHeight="125829382" behindDoc="0" locked="0" layoutInCell="1" allowOverlap="1">
            <wp:simplePos x="0" y="0"/>
            <wp:positionH relativeFrom="page">
              <wp:posOffset>727075</wp:posOffset>
            </wp:positionH>
            <wp:positionV relativeFrom="paragraph">
              <wp:posOffset>1998345</wp:posOffset>
            </wp:positionV>
            <wp:extent cx="2597150" cy="701040"/>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597150" cy="701040"/>
                    </a:xfrm>
                    <a:prstGeom prst="rect"/>
                  </pic:spPr>
                </pic:pic>
              </a:graphicData>
            </a:graphic>
          </wp:anchor>
        </w:drawing>
      </w:r>
      <w:r>
        <w:rPr>
          <w:color w:val="000000"/>
          <w:spacing w:val="0"/>
          <w:w w:val="100"/>
          <w:position w:val="0"/>
          <w:shd w:val="clear" w:color="auto" w:fill="auto"/>
          <w:lang w:val="ru-RU" w:eastAsia="ru-RU" w:bidi="ru-RU"/>
        </w:rPr>
        <w:t>МГТУ им. Н. Э. Баумана</w:t>
      </w:r>
    </w:p>
    <w:p>
      <w:pPr>
        <w:pStyle w:val="Style9"/>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одрг@Ът8Ш.ги</w:t>
      </w:r>
    </w:p>
    <w:p>
      <w:pPr>
        <w:pStyle w:val="Style9"/>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ИП Истратов И.Е.</w:t>
      </w:r>
    </w:p>
    <w:p>
      <w:pPr>
        <w:pStyle w:val="Style9"/>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итх05@тай.ги</w:t>
      </w:r>
    </w:p>
    <w:p>
      <w:pPr>
        <w:pStyle w:val="Style9"/>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АО «Сбербанк-АСТ»</w:t>
      </w:r>
    </w:p>
    <w:p>
      <w:pPr>
        <w:pStyle w:val="Style9"/>
        <w:keepNext w:val="0"/>
        <w:keepLines w:val="0"/>
        <w:widowControl w:val="0"/>
        <w:shd w:val="clear" w:color="auto" w:fill="auto"/>
        <w:bidi w:val="0"/>
        <w:spacing w:before="0" w:after="1100" w:line="240" w:lineRule="auto"/>
        <w:ind w:left="1020" w:right="0" w:firstLine="0"/>
        <w:jc w:val="left"/>
      </w:pPr>
      <w:r>
        <w:rPr>
          <w:color w:val="000000"/>
          <w:spacing w:val="0"/>
          <w:w w:val="100"/>
          <w:position w:val="0"/>
          <w:shd w:val="clear" w:color="auto" w:fill="auto"/>
          <w:lang w:val="ru-RU" w:eastAsia="ru-RU" w:bidi="ru-RU"/>
        </w:rPr>
        <w:t>ко@8ЪегЪапк-а81.ги, тГо@8ЪегЪапк-а81:.ги</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5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077/06/106-13337/2024 о нарушении</w:t>
        <w:br/>
        <w:t>законодательства о контрактной системе</w:t>
        <w:br/>
        <w:t>03.10.2024</w:t>
        <w:tab/>
        <w:t>г. Москва</w:t>
      </w:r>
    </w:p>
    <w:p>
      <w:pPr>
        <w:pStyle w:val="Style9"/>
        <w:keepNext w:val="0"/>
        <w:keepLines w:val="0"/>
        <w:widowControl w:val="0"/>
        <w:shd w:val="clear" w:color="auto" w:fill="auto"/>
        <w:tabs>
          <w:tab w:pos="221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w:t>
        <w:tab/>
        <w:t>Управления Федеральной антимонопольной службы по</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Москве по контролю в сфере закупок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Е.А. Мироновой,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МГТУ им. Н. Э. Баумана: Аникеева И.Ю. (дов. № 214 от 31.12.2023),</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слушателя: Волковой Е.А.,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отсутствии представителей ИП Истратов И.Е.,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9"/>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рассмотрев жалобу ИП Истратов И.Е. (далее — Заявитель) на действия МГТУ им. Н. Э. Баумана (далее — Заказчик) при проведении открытого конкурса в электронной форме на право заключения государственного контракта на услуги комплексной уборки зданий и прилегающей территории 244 (Закупка № 0373100076524000356)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 проведении закупочной процедуры в нарушение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Заказчиком неправомерно выбран код ОКПД2 81.29.19.000 «Услуги по чистке и уборке прочие, не включенные в другие группировки», что повлекло за собой неправомерный выбор способ определения поставщиков (подрядчика, исполнителя) путем проведения открытого конкурса в электронной форме.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ч.2 ст.24 Закона о контрактной системе конкурентными способами являются:</w:t>
      </w:r>
    </w:p>
    <w:p>
      <w:pPr>
        <w:pStyle w:val="Style9"/>
        <w:keepNext w:val="0"/>
        <w:keepLines w:val="0"/>
        <w:widowControl w:val="0"/>
        <w:numPr>
          <w:ilvl w:val="0"/>
          <w:numId w:val="1"/>
        </w:numPr>
        <w:shd w:val="clear" w:color="auto" w:fill="auto"/>
        <w:tabs>
          <w:tab w:pos="106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Style9"/>
        <w:keepNext w:val="0"/>
        <w:keepLines w:val="0"/>
        <w:widowControl w:val="0"/>
        <w:numPr>
          <w:ilvl w:val="0"/>
          <w:numId w:val="1"/>
        </w:numPr>
        <w:shd w:val="clear" w:color="auto" w:fill="auto"/>
        <w:tabs>
          <w:tab w:pos="106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9"/>
        <w:keepNext w:val="0"/>
        <w:keepLines w:val="0"/>
        <w:widowControl w:val="0"/>
        <w:numPr>
          <w:ilvl w:val="0"/>
          <w:numId w:val="1"/>
        </w:numPr>
        <w:shd w:val="clear" w:color="auto" w:fill="auto"/>
        <w:tabs>
          <w:tab w:pos="106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запрос котировок в электронной форме (далее - электронный запрос котировок).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Изменениям извещения о проведении открытого конкурса в электронной форме от 17.09.2024 №ИИ1 в ред. №2 объектом закупки являются услуги комплексной уборки зданий и прилегающей территории 244, при этом Заказчиком выбран код ОКПД2 81.29.19.000 «Услуги по чистке и уборке прочие, не включенные в другие группировки».</w:t>
      </w:r>
    </w:p>
    <w:p>
      <w:pPr>
        <w:pStyle w:val="Style9"/>
        <w:keepNext w:val="0"/>
        <w:keepLines w:val="0"/>
        <w:widowControl w:val="0"/>
        <w:numPr>
          <w:ilvl w:val="0"/>
          <w:numId w:val="1"/>
        </w:numPr>
        <w:shd w:val="clear" w:color="auto" w:fill="auto"/>
        <w:tabs>
          <w:tab w:pos="108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6 ст.24 Закона о контрактной системе установлено, что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Style9"/>
        <w:keepNext w:val="0"/>
        <w:keepLines w:val="0"/>
        <w:widowControl w:val="0"/>
        <w:shd w:val="clear" w:color="auto" w:fill="auto"/>
        <w:bidi w:val="0"/>
        <w:spacing w:before="0" w:after="0" w:line="300" w:lineRule="auto"/>
        <w:ind w:left="0" w:right="0" w:firstLine="700"/>
        <w:jc w:val="both"/>
        <w:rPr>
          <w:sz w:val="22"/>
          <w:szCs w:val="22"/>
        </w:rPr>
        <w:sectPr>
          <w:footnotePr>
            <w:pos w:val="pageBottom"/>
            <w:numFmt w:val="decimal"/>
            <w:numRestart w:val="continuous"/>
          </w:footnotePr>
          <w:type w:val="continuous"/>
          <w:pgSz w:w="11900" w:h="16840"/>
          <w:pgMar w:top="1060" w:right="537" w:bottom="752" w:left="1105"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Буквальное толкование приведенных норм права позволяет сделать вывод о том, что при выборе способа определения поставщика (подрядчика, исполнителя) </w:t>
      </w:r>
      <w:r>
        <w:rPr>
          <w:rFonts w:ascii="Cambria" w:eastAsia="Cambria" w:hAnsi="Cambria" w:cs="Cambria"/>
          <w:color w:val="000000"/>
          <w:spacing w:val="0"/>
          <w:w w:val="100"/>
          <w:position w:val="0"/>
          <w:sz w:val="22"/>
          <w:szCs w:val="22"/>
          <w:shd w:val="clear" w:color="auto" w:fill="auto"/>
          <w:lang w:val="ru-RU" w:eastAsia="ru-RU" w:bidi="ru-RU"/>
        </w:rPr>
        <w:t>2024-46997</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Заказчик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 при этом Комиссия Управления отмечает, что не соблюдение Заказчиком предусмотренной ч.6 ст.24 Закона о контрактной системе обязанности влечет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товаров, работ, услуг, в отношении которых Заказчик обязан проводить аукцион в электронной форме, утвержден распоряжением Правительства Российской Федерации от 21.03.2016 № 471-р «О перечне товаров, работ, услуг, в случае осуществления закупок которых заказчик обязан проводить аукцион в электронной форме (электронный аукцион)» (далее — Аукционный перечень).</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при избрании способа определения поставщика определяющим фактором является предмет государственного контракта, который, в свою очередь, соотносится с позициями Общероссийского классификатора продукции по видам экономической деятельности (далее - ОКПД2) ОК 034-2014 (КПЕС 2008), принятого и введенного в действие Приказом Росстандарта от 31.01.2014 № 14-ст.</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Выбор конкретного кода ОКПД2 основан на оценке подлежащих описанию требуемых услуг, а процесс описания услуг связан с полнотой и достоверностью сведений об услугах (определенного набора сведений, соответствующих либо не соответствующих действительности). Правовое значение для классификации услуг имеет их разграничение (критерии разграничения) по позициям ОКПД2 в соответствии с Общероссийским классификатором продукции по видам экономической деятельности ОК 034-2014 (КПЕС 2008).</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изменениям извещения о проведении открытого конкурса в электронной форме от 17.09.2024 №ИИ1 в ред. №2, Заказчиком осуществляется закупка, например, следующих услуг:</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А. Вид, объем и периодичность оказания услуг здания</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«Объем комплексной (основной) уборки»: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мусора из мусорных корзин (2/3 объема), замена полиэтиленовых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в места временного накопления и складирования.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локальных загрязнений со стен и дверей на высоте до 2 м от пола.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ручек дверей.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и дезинфекция выключателей освещения.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подоконников.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лестничных маршей и площадок.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лестничных перил.</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входных решеток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пыли и спонтанных загрязнений с воздушных и воздушно-тепловых завес.</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дверей, дверных коробок, наличников, доводчиков, филенок, фурнитуры, дезинфекция дверных ручек.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стеклянных поверхностей (внутренних сторон стен, окон, зеркал, стеклянных дверок шкафов, стеклянных полок) на высоте до 2 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корпусной и офисной мебели (столешниц письменных столов, шкафов, тумбочек, подлокотников кресел, скамеек, кушеток, стульев), протирание полок в открытых шкафах.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пыли и спонтанных загрязнений с осветительной арматуры и установочных изделий (коробов кабель-каналов, розеток, выключателей), пожарных шкафов, огнетушителей и т.п.</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турникетов и дезинфекция планок/створок турникета.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лестничных маршей и площадок.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и дезинфекция лестничных перил.</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радиаторов отопления и труб.</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Вакуумная уборка пола с текстильными покрытиями, грязезащитных ковров (матов).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 включая плинтус.</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металлодетекторов и ограждений.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входных приямков.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ручек дверей.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выключателей освещения.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зеркал.</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раковин и смесителей.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водопроводной арматуры, крепежных изделий и труб, а также труб канализации» и др.;</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«Объем поддерживающей уборки»: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«Поддержание чистоты входных групп (очистка пола, удаление пятен с дверей, остекления, зеркал, стен, вынос мусора из урн, очистка дверных ручек).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мусора из мусорных корзин (2/3 объема), замена полиэтиленовых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в места временного накопления и складирования.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спонтанных загрязнений со стен и дверей на высоте до 2 м от пола.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спонтанных загрязнений с металлодетекторов и турникетов на высоте до 2 м от пола.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спонтанных загрязнений с остекления интерьера.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спонтанных загрязнений с деталей интерьера.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жвачки, спонтанных загрязнений и локальных пятен с напольных покрытий пола, грязезащитных ковров (матов).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мусора из мусорных корзин (2/3 объема), замена полиэтиленовых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к местам временного накопления и складирования.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спонтанных загрязнений со стен и дверей на высоте до 2 м от пола.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и дезинфекция ручек дверей.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локальных загрязнений с выключателей освещения.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локальных загрязнений с зеркал.</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раковин и кранов.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пополнение диспенсеров и дозаторов для мыла, бумажных полотенец.</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фенов и электросушилок.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унитазов, сидений унитазов с двух сторон, писсуаров.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Опорожнение корзин для мусора и урн, замена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и дезинфекция ручек дверей.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выключателей освещения.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раковин и кранов.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Опорожнение корзин для мусора и урн, их мытье и дезинфекция, замена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в места временного накопления и складирования» и др.;</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«Объем генеральной уборки»: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стен на всю высоту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Обеспыливание сухим МОПом жалюзи (штор, карнизов)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пыли с элементов трубопроводов и коробов, к которым имеется доступ</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настенных светильников изнутри и снаружи с привлечением технических специалистов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вентиляционных решеток, диффузоров, зонтов.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корпусной и ученической мебели снаружи и внутри (столешниц письменных столов, верхних крышек шкафов, тумбочек, полок в шкафах и тумбочках, подлокотников кресел, скамеек, стульев и т.п.), полок в открытых шкафах.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ручек шкафов.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приборов отопления.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стеклянных поверхностей (стен, внутренних сторон окон, зеркал, стеклянных дверок шкафов, стеклянных полок) на всю высоту.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Вакуумная уборка мягкой мебели при помощи пылесоса.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потолка, не выше 3-х метров.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окон, рам, переплетов, подоконников, отливов, москитных сеток.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осветительной арматуры светильников (софиты/лампы для досок, потолочные светильники и пр.), с привлечением технических специалистов.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уборка потолочных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влажная уборка (обеспыливание) внешних и внутренних поверхностей (стен, дверей) на всю высоту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уборка (обеспыливание) и дезинфекция средств индикации и управления».</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Б. Вид, объем и периодичность оказания услуг на прилегающей территории и 5 м внешнего периметра</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«Объем комплексной (основной) и поддерживающей уборки» </w:t>
      </w:r>
      <w:r>
        <w:rPr>
          <w:color w:val="000000"/>
          <w:spacing w:val="0"/>
          <w:w w:val="100"/>
          <w:position w:val="0"/>
          <w:shd w:val="clear" w:color="auto" w:fill="auto"/>
          <w:lang w:val="ru-RU" w:eastAsia="ru-RU" w:bidi="ru-RU"/>
        </w:rPr>
        <w:t>Летний период (16.03-14.11)</w:t>
      </w:r>
      <w:r>
        <w:rPr>
          <w:b/>
          <w:bCs/>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«Выгрузка и очистка уличных урн, замена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к местам временного накопления и складирования (контейнерам).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Сухая ручная уборка ступеней и облицовки крыльца.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ручная уборка ступеней и облицовки крыльца.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Сухая ручная уборка твердых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Сухая ручная уборка контейнерных площадок (подметание).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Полив твердых покрытий водой из шланга.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Ручной полив газонов водой из шланга.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Уборка мусора с газонов.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Покос газонов.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объявлений со стен, решеток ограждения, осветительных столбов и т.п.</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опавшей листвы»;</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«Объем комплексной (основной) и поддерживающей уборки» </w:t>
      </w:r>
      <w:r>
        <w:rPr>
          <w:color w:val="000000"/>
          <w:spacing w:val="0"/>
          <w:w w:val="100"/>
          <w:position w:val="0"/>
          <w:shd w:val="clear" w:color="auto" w:fill="auto"/>
          <w:lang w:val="ru-RU" w:eastAsia="ru-RU" w:bidi="ru-RU"/>
        </w:rPr>
        <w:t>Зимний период (15.11-15.03):</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«Выгрузка и очистка уличных урн, замена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к местам временного накопления и складирования (контейнерам).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Ручное сгребание и подметание снега.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Формирование снежных куч и валов в согласованных местах.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Обработка территории реагентом и мелким щебнем фракции 2-5 мм при возникновении наледи (гололеда).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карнизов, козырьков от снега, льда, сосулек на высоте до 3-х метров».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отсутствовал, при этом согласно доводам жалобы Заявитель указывает, что Заказчиком выбран код ОКПД2 81.29.19.000 «Услуги по чистке и уборке прочие, не включенные в другие группировки».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Эта группировка включает:</w:t>
      </w:r>
    </w:p>
    <w:p>
      <w:pPr>
        <w:pStyle w:val="Style9"/>
        <w:keepNext w:val="0"/>
        <w:keepLines w:val="0"/>
        <w:widowControl w:val="0"/>
        <w:numPr>
          <w:ilvl w:val="0"/>
          <w:numId w:val="3"/>
        </w:numPr>
        <w:shd w:val="clear" w:color="auto" w:fill="auto"/>
        <w:tabs>
          <w:tab w:pos="115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неспециализированные услуги по чистке и уборке автобусов, поездов метро, прочих поездов, самолетов, судов и прочего транспортного оборудования;</w:t>
      </w:r>
    </w:p>
    <w:p>
      <w:pPr>
        <w:pStyle w:val="Style9"/>
        <w:keepNext w:val="0"/>
        <w:keepLines w:val="0"/>
        <w:widowControl w:val="0"/>
        <w:numPr>
          <w:ilvl w:val="0"/>
          <w:numId w:val="3"/>
        </w:numPr>
        <w:shd w:val="clear" w:color="auto" w:fill="auto"/>
        <w:tabs>
          <w:tab w:pos="181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мойке бутылок;</w:t>
      </w:r>
    </w:p>
    <w:p>
      <w:pPr>
        <w:pStyle w:val="Style9"/>
        <w:keepNext w:val="0"/>
        <w:keepLines w:val="0"/>
        <w:widowControl w:val="0"/>
        <w:numPr>
          <w:ilvl w:val="0"/>
          <w:numId w:val="3"/>
        </w:numPr>
        <w:shd w:val="clear" w:color="auto" w:fill="auto"/>
        <w:tabs>
          <w:tab w:pos="181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чистке и техническому обслуживанию плавательных бассейнов;</w:t>
      </w:r>
    </w:p>
    <w:p>
      <w:pPr>
        <w:pStyle w:val="Style9"/>
        <w:keepNext w:val="0"/>
        <w:keepLines w:val="0"/>
        <w:widowControl w:val="0"/>
        <w:numPr>
          <w:ilvl w:val="0"/>
          <w:numId w:val="3"/>
        </w:numPr>
        <w:shd w:val="clear" w:color="auto" w:fill="auto"/>
        <w:tabs>
          <w:tab w:pos="115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чистке внутренних поверхностей автомобильных цистерн и морских танкеров;</w:t>
      </w:r>
    </w:p>
    <w:p>
      <w:pPr>
        <w:pStyle w:val="Style9"/>
        <w:keepNext w:val="0"/>
        <w:keepLines w:val="0"/>
        <w:widowControl w:val="0"/>
        <w:numPr>
          <w:ilvl w:val="0"/>
          <w:numId w:val="3"/>
        </w:numPr>
        <w:shd w:val="clear" w:color="auto" w:fill="auto"/>
        <w:tabs>
          <w:tab w:pos="115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уходу за декоративными изделиями из стекла, металла, дерева, кожи;</w:t>
      </w:r>
    </w:p>
    <w:p>
      <w:pPr>
        <w:pStyle w:val="Style9"/>
        <w:keepNext w:val="0"/>
        <w:keepLines w:val="0"/>
        <w:widowControl w:val="0"/>
        <w:numPr>
          <w:ilvl w:val="0"/>
          <w:numId w:val="3"/>
        </w:numPr>
        <w:shd w:val="clear" w:color="auto" w:fill="auto"/>
        <w:tabs>
          <w:tab w:pos="18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уходу за лепными и скульптурными украшениями;</w:t>
      </w:r>
    </w:p>
    <w:p>
      <w:pPr>
        <w:pStyle w:val="Style9"/>
        <w:keepNext w:val="0"/>
        <w:keepLines w:val="0"/>
        <w:widowControl w:val="0"/>
        <w:numPr>
          <w:ilvl w:val="0"/>
          <w:numId w:val="3"/>
        </w:numPr>
        <w:shd w:val="clear" w:color="auto" w:fill="auto"/>
        <w:tabs>
          <w:tab w:pos="18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чистке жалюзи;</w:t>
      </w:r>
    </w:p>
    <w:p>
      <w:pPr>
        <w:pStyle w:val="Style9"/>
        <w:keepNext w:val="0"/>
        <w:keepLines w:val="0"/>
        <w:widowControl w:val="0"/>
        <w:numPr>
          <w:ilvl w:val="0"/>
          <w:numId w:val="3"/>
        </w:numPr>
        <w:shd w:val="clear" w:color="auto" w:fill="auto"/>
        <w:tabs>
          <w:tab w:pos="18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чистке сливных и канализационных решеток, труб и желобов;</w:t>
      </w:r>
    </w:p>
    <w:p>
      <w:pPr>
        <w:pStyle w:val="Style9"/>
        <w:keepNext w:val="0"/>
        <w:keepLines w:val="0"/>
        <w:widowControl w:val="0"/>
        <w:numPr>
          <w:ilvl w:val="0"/>
          <w:numId w:val="3"/>
        </w:numPr>
        <w:shd w:val="clear" w:color="auto" w:fill="auto"/>
        <w:tabs>
          <w:tab w:pos="18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прочие услуги по чистке и уборке, не включенные в другие группировки.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Эта группировка не включает:</w:t>
      </w:r>
    </w:p>
    <w:p>
      <w:pPr>
        <w:pStyle w:val="Style9"/>
        <w:keepNext w:val="0"/>
        <w:keepLines w:val="0"/>
        <w:widowControl w:val="0"/>
        <w:numPr>
          <w:ilvl w:val="0"/>
          <w:numId w:val="3"/>
        </w:numPr>
        <w:shd w:val="clear" w:color="auto" w:fill="auto"/>
        <w:tabs>
          <w:tab w:pos="11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чистке сельскохозяйственных помещений (курятников, свинарников и т.д.), см. 01.62.10;</w:t>
      </w:r>
    </w:p>
    <w:p>
      <w:pPr>
        <w:pStyle w:val="Style9"/>
        <w:keepNext w:val="0"/>
        <w:keepLines w:val="0"/>
        <w:widowControl w:val="0"/>
        <w:numPr>
          <w:ilvl w:val="0"/>
          <w:numId w:val="3"/>
        </w:numPr>
        <w:shd w:val="clear" w:color="auto" w:fill="auto"/>
        <w:tabs>
          <w:tab w:pos="18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рекультивации и санитарной очистке, см. 39.00;</w:t>
      </w:r>
    </w:p>
    <w:p>
      <w:pPr>
        <w:pStyle w:val="Style9"/>
        <w:keepNext w:val="0"/>
        <w:keepLines w:val="0"/>
        <w:widowControl w:val="0"/>
        <w:numPr>
          <w:ilvl w:val="0"/>
          <w:numId w:val="3"/>
        </w:numPr>
        <w:shd w:val="clear" w:color="auto" w:fill="auto"/>
        <w:tabs>
          <w:tab w:pos="11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очистке зданий снаружи, если это связано с завершением строительства, см. 43.39.19;</w:t>
      </w:r>
    </w:p>
    <w:p>
      <w:pPr>
        <w:pStyle w:val="Style9"/>
        <w:keepNext w:val="0"/>
        <w:keepLines w:val="0"/>
        <w:widowControl w:val="0"/>
        <w:numPr>
          <w:ilvl w:val="0"/>
          <w:numId w:val="3"/>
        </w:numPr>
        <w:shd w:val="clear" w:color="auto" w:fill="auto"/>
        <w:tabs>
          <w:tab w:pos="18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чистке легковых автомобилей, см. 45.20.30;</w:t>
      </w:r>
    </w:p>
    <w:p>
      <w:pPr>
        <w:pStyle w:val="Style9"/>
        <w:keepNext w:val="0"/>
        <w:keepLines w:val="0"/>
        <w:widowControl w:val="0"/>
        <w:numPr>
          <w:ilvl w:val="0"/>
          <w:numId w:val="3"/>
        </w:numPr>
        <w:shd w:val="clear" w:color="auto" w:fill="auto"/>
        <w:tabs>
          <w:tab w:pos="18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чистку ковров, обивочных материалов, драпировок и т.д., см. 96.01.19.</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в Техническом задании в п. 7 указано: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7. Состав Услуги:</w:t>
      </w:r>
    </w:p>
    <w:p>
      <w:pPr>
        <w:pStyle w:val="Style9"/>
        <w:keepNext w:val="0"/>
        <w:keepLines w:val="0"/>
        <w:widowControl w:val="0"/>
        <w:numPr>
          <w:ilvl w:val="0"/>
          <w:numId w:val="5"/>
        </w:numPr>
        <w:shd w:val="clear" w:color="auto" w:fill="auto"/>
        <w:tabs>
          <w:tab w:pos="111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обеспечение мест общего пользования санитарными расходными материалами;</w:t>
      </w:r>
    </w:p>
    <w:p>
      <w:pPr>
        <w:pStyle w:val="Style9"/>
        <w:keepNext w:val="0"/>
        <w:keepLines w:val="0"/>
        <w:widowControl w:val="0"/>
        <w:numPr>
          <w:ilvl w:val="0"/>
          <w:numId w:val="5"/>
        </w:numPr>
        <w:shd w:val="clear" w:color="auto" w:fill="auto"/>
        <w:tabs>
          <w:tab w:pos="111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уборка помещений (комплексная (основная), поддерживающая, генеральная);</w:t>
      </w:r>
    </w:p>
    <w:p>
      <w:pPr>
        <w:pStyle w:val="Style9"/>
        <w:keepNext w:val="0"/>
        <w:keepLines w:val="0"/>
        <w:widowControl w:val="0"/>
        <w:numPr>
          <w:ilvl w:val="0"/>
          <w:numId w:val="5"/>
        </w:numPr>
        <w:shd w:val="clear" w:color="auto" w:fill="auto"/>
        <w:tabs>
          <w:tab w:pos="111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уборка прилегающей территории и 5 м внешнего периметра, что соответствует следующим кодам ОКПД2:</w:t>
      </w:r>
    </w:p>
    <w:p>
      <w:pPr>
        <w:pStyle w:val="Style9"/>
        <w:keepNext w:val="0"/>
        <w:keepLines w:val="0"/>
        <w:widowControl w:val="0"/>
        <w:numPr>
          <w:ilvl w:val="0"/>
          <w:numId w:val="7"/>
        </w:numPr>
        <w:shd w:val="clear" w:color="auto" w:fill="auto"/>
        <w:tabs>
          <w:tab w:pos="111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уборка помещений (комплексная (основная), поддерживающая, генеральная);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ОКПД 2: 81.21.10 — Услуги по общей уборке зданий. Эта группировка включает:</w:t>
      </w:r>
    </w:p>
    <w:p>
      <w:pPr>
        <w:pStyle w:val="Style9"/>
        <w:keepNext w:val="0"/>
        <w:keepLines w:val="0"/>
        <w:widowControl w:val="0"/>
        <w:numPr>
          <w:ilvl w:val="0"/>
          <w:numId w:val="9"/>
        </w:numPr>
        <w:shd w:val="clear" w:color="auto" w:fill="auto"/>
        <w:tabs>
          <w:tab w:pos="115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уборке и обслуживанию жилых домов, квартир, зданий коммерческого, административного и промышленного назначения: услуги по мытью и натирке полов;</w:t>
      </w:r>
    </w:p>
    <w:p>
      <w:pPr>
        <w:pStyle w:val="Style9"/>
        <w:keepNext w:val="0"/>
        <w:keepLines w:val="0"/>
        <w:widowControl w:val="0"/>
        <w:numPr>
          <w:ilvl w:val="0"/>
          <w:numId w:val="9"/>
        </w:numPr>
        <w:shd w:val="clear" w:color="auto" w:fill="auto"/>
        <w:tabs>
          <w:tab w:pos="115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чистке стен внутри помещения, услуги по полировке мебели прочие;</w:t>
      </w:r>
    </w:p>
    <w:p>
      <w:pPr>
        <w:pStyle w:val="Style9"/>
        <w:keepNext w:val="0"/>
        <w:keepLines w:val="0"/>
        <w:widowControl w:val="0"/>
        <w:numPr>
          <w:ilvl w:val="0"/>
          <w:numId w:val="9"/>
        </w:numPr>
        <w:shd w:val="clear" w:color="auto" w:fill="auto"/>
        <w:tabs>
          <w:tab w:pos="18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обслуживанию зданий и сооружений, включая мелкий ремонт;</w:t>
      </w:r>
    </w:p>
    <w:p>
      <w:pPr>
        <w:pStyle w:val="Style9"/>
        <w:keepNext w:val="0"/>
        <w:keepLines w:val="0"/>
        <w:widowControl w:val="0"/>
        <w:numPr>
          <w:ilvl w:val="0"/>
          <w:numId w:val="7"/>
        </w:numPr>
        <w:shd w:val="clear" w:color="auto" w:fill="auto"/>
        <w:tabs>
          <w:tab w:pos="18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уборка прилегающей территории и 5 м внешнего периметра;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ОКПД 2: 81.22.12 — Услуги по чистке и уборке специализированные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Эта группировка включает:</w:t>
      </w:r>
    </w:p>
    <w:p>
      <w:pPr>
        <w:pStyle w:val="Style9"/>
        <w:keepNext w:val="0"/>
        <w:keepLines w:val="0"/>
        <w:widowControl w:val="0"/>
        <w:numPr>
          <w:ilvl w:val="0"/>
          <w:numId w:val="11"/>
        </w:numPr>
        <w:shd w:val="clear" w:color="auto" w:fill="auto"/>
        <w:tabs>
          <w:tab w:pos="11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уборке помещений, оборудованных компьютерами;</w:t>
      </w:r>
    </w:p>
    <w:p>
      <w:pPr>
        <w:pStyle w:val="Style9"/>
        <w:keepNext w:val="0"/>
        <w:keepLines w:val="0"/>
        <w:widowControl w:val="0"/>
        <w:numPr>
          <w:ilvl w:val="0"/>
          <w:numId w:val="11"/>
        </w:numPr>
        <w:shd w:val="clear" w:color="auto" w:fill="auto"/>
        <w:tabs>
          <w:tab w:pos="11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чистке промышленных машин и оборудования;</w:t>
      </w:r>
    </w:p>
    <w:p>
      <w:pPr>
        <w:pStyle w:val="Style9"/>
        <w:keepNext w:val="0"/>
        <w:keepLines w:val="0"/>
        <w:widowControl w:val="0"/>
        <w:numPr>
          <w:ilvl w:val="0"/>
          <w:numId w:val="11"/>
        </w:numPr>
        <w:shd w:val="clear" w:color="auto" w:fill="auto"/>
        <w:tabs>
          <w:tab w:pos="115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специализированные услуги по очистке резервуаров и баков, которые являются частью промышленных установок;</w:t>
      </w:r>
    </w:p>
    <w:p>
      <w:pPr>
        <w:pStyle w:val="Style9"/>
        <w:keepNext w:val="0"/>
        <w:keepLines w:val="0"/>
        <w:widowControl w:val="0"/>
        <w:numPr>
          <w:ilvl w:val="0"/>
          <w:numId w:val="11"/>
        </w:numPr>
        <w:shd w:val="clear" w:color="auto" w:fill="auto"/>
        <w:tabs>
          <w:tab w:pos="11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стерилизации предметов или помещений (операционных);</w:t>
      </w:r>
    </w:p>
    <w:p>
      <w:pPr>
        <w:pStyle w:val="Style9"/>
        <w:keepNext w:val="0"/>
        <w:keepLines w:val="0"/>
        <w:widowControl w:val="0"/>
        <w:numPr>
          <w:ilvl w:val="0"/>
          <w:numId w:val="11"/>
        </w:numPr>
        <w:shd w:val="clear" w:color="auto" w:fill="auto"/>
        <w:tabs>
          <w:tab w:pos="1150" w:val="left"/>
        </w:tabs>
        <w:bidi w:val="0"/>
        <w:spacing w:before="0" w:after="0" w:line="240" w:lineRule="auto"/>
        <w:ind w:left="0" w:right="0" w:firstLine="700"/>
        <w:jc w:val="both"/>
        <w:sectPr>
          <w:headerReference w:type="default" r:id="rId13"/>
          <w:footerReference w:type="default" r:id="rId14"/>
          <w:footnotePr>
            <w:pos w:val="pageBottom"/>
            <w:numFmt w:val="decimal"/>
            <w:numRestart w:val="continuous"/>
          </w:footnotePr>
          <w:pgSz w:w="11900" w:h="16840"/>
          <w:pgMar w:top="1162" w:right="546" w:bottom="1162" w:left="1101" w:header="0" w:footer="3" w:gutter="0"/>
          <w:cols w:space="720"/>
          <w:noEndnote/>
          <w:rtlGutter w:val="0"/>
          <w:docGrid w:linePitch="360"/>
        </w:sectPr>
      </w:pPr>
      <w:r>
        <w:rPr>
          <w:color w:val="000000"/>
          <w:spacing w:val="0"/>
          <w:w w:val="100"/>
          <w:position w:val="0"/>
          <w:shd w:val="clear" w:color="auto" w:fill="auto"/>
          <w:lang w:val="ru-RU" w:eastAsia="ru-RU" w:bidi="ru-RU"/>
        </w:rPr>
        <w:t>услуги по чистке зданий всех видов, включая офисные здания, заводы, магазины, учреждения и прочие предпринимательские и профессиональные помещения и многоквартирные жилые дома, снаружи;</w:t>
      </w:r>
    </w:p>
    <w:p>
      <w:pPr>
        <w:pStyle w:val="Style9"/>
        <w:keepNext w:val="0"/>
        <w:keepLines w:val="0"/>
        <w:widowControl w:val="0"/>
        <w:numPr>
          <w:ilvl w:val="0"/>
          <w:numId w:val="11"/>
        </w:numPr>
        <w:shd w:val="clear" w:color="auto" w:fill="auto"/>
        <w:tabs>
          <w:tab w:pos="115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прочие услуги по чистке и уборке зданий и промышленной уборке, не включенные в другие группировки;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ОКПД 2: 81.29.12 — Услуги по подметанию и уборке снега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Эта группировка включает:</w:t>
      </w:r>
    </w:p>
    <w:p>
      <w:pPr>
        <w:pStyle w:val="Style9"/>
        <w:keepNext w:val="0"/>
        <w:keepLines w:val="0"/>
        <w:widowControl w:val="0"/>
        <w:numPr>
          <w:ilvl w:val="0"/>
          <w:numId w:val="11"/>
        </w:numPr>
        <w:shd w:val="clear" w:color="auto" w:fill="auto"/>
        <w:tabs>
          <w:tab w:pos="132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очистку взлетно-посадочных полос с применением подметально</w:t>
        <w:softHyphen/>
        <w:t>вакуумных машин;</w:t>
      </w:r>
    </w:p>
    <w:p>
      <w:pPr>
        <w:pStyle w:val="Style9"/>
        <w:keepNext w:val="0"/>
        <w:keepLines w:val="0"/>
        <w:widowControl w:val="0"/>
        <w:numPr>
          <w:ilvl w:val="0"/>
          <w:numId w:val="11"/>
        </w:numPr>
        <w:shd w:val="clear" w:color="auto" w:fill="auto"/>
        <w:tabs>
          <w:tab w:pos="11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подметанию и уборке улиц;</w:t>
      </w:r>
    </w:p>
    <w:p>
      <w:pPr>
        <w:pStyle w:val="Style9"/>
        <w:keepNext w:val="0"/>
        <w:keepLines w:val="0"/>
        <w:widowControl w:val="0"/>
        <w:numPr>
          <w:ilvl w:val="0"/>
          <w:numId w:val="11"/>
        </w:numPr>
        <w:shd w:val="clear" w:color="auto" w:fill="auto"/>
        <w:tabs>
          <w:tab w:pos="11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посыпанию автомобильных дорог песком и солью;</w:t>
      </w:r>
    </w:p>
    <w:p>
      <w:pPr>
        <w:pStyle w:val="Style9"/>
        <w:keepNext w:val="0"/>
        <w:keepLines w:val="0"/>
        <w:widowControl w:val="0"/>
        <w:numPr>
          <w:ilvl w:val="0"/>
          <w:numId w:val="11"/>
        </w:numPr>
        <w:shd w:val="clear" w:color="auto" w:fill="auto"/>
        <w:tabs>
          <w:tab w:pos="11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снегоочистку плугом и уборку снега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ОКПД 2: 81.29.13 — Услуги санитарно-гигиенические прочие Эта группировка включает:</w:t>
      </w:r>
    </w:p>
    <w:p>
      <w:pPr>
        <w:pStyle w:val="Style9"/>
        <w:keepNext w:val="0"/>
        <w:keepLines w:val="0"/>
        <w:widowControl w:val="0"/>
        <w:numPr>
          <w:ilvl w:val="0"/>
          <w:numId w:val="11"/>
        </w:numPr>
        <w:shd w:val="clear" w:color="auto" w:fill="auto"/>
        <w:tabs>
          <w:tab w:pos="11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уборке пляжей;</w:t>
      </w:r>
    </w:p>
    <w:p>
      <w:pPr>
        <w:pStyle w:val="Style9"/>
        <w:keepNext w:val="0"/>
        <w:keepLines w:val="0"/>
        <w:widowControl w:val="0"/>
        <w:numPr>
          <w:ilvl w:val="0"/>
          <w:numId w:val="11"/>
        </w:numPr>
        <w:shd w:val="clear" w:color="auto" w:fill="auto"/>
        <w:tabs>
          <w:tab w:pos="132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санитарно-гигиенической обработке помещений и сантехнического оборудования;</w:t>
      </w:r>
    </w:p>
    <w:p>
      <w:pPr>
        <w:pStyle w:val="Style9"/>
        <w:keepNext w:val="0"/>
        <w:keepLines w:val="0"/>
        <w:widowControl w:val="0"/>
        <w:numPr>
          <w:ilvl w:val="0"/>
          <w:numId w:val="11"/>
        </w:numPr>
        <w:shd w:val="clear" w:color="auto" w:fill="auto"/>
        <w:tabs>
          <w:tab w:pos="11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по чистке и дезинфекции кухонного оборудования.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в обоснование своей позиции Заявитель указывает, что Распоряжением Правительства РФ от 21.03.2016 № 471-р установлен перечень товаров, работ, услуг, в случае осуществления закупок которых заказчик обязан проводить аукцион в электронной форме (электронный аукцион) (далее - Перечень).</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товаров, работ, услуг, в случае осуществления закупок которых заказчик обязан проводить аукционы: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81.21.10 Услуги по общей уборке зданий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81.22.11 Услуги по мытью окон</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81.22.12 Услуги по чистке и уборке специализированные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81.22.13 Услуги по чистке печей и дымоходов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81.29.11 Услуги по дезинфекции, дезинсекции и дератизации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по мнению Заявителя, закупка указанных услуг/работ должна осуществляться путем проведения электронного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объектом закупки является оказание услуг по комплексному обслуживанию зданий и прилегающей к ним территории, в том числе 5 м периметра от внешнего ограждения, что помимо уборки помещений, предусматривает так же содержание и обслуживание дворовых территорий и обеспечение мест общего пользования санитарными расходными материалами, что не попадает под код ОКПД2 81.21.10, ввиду чего при формировании конкурсной документации Заказчиком использован код 81.29.19.000.</w:t>
      </w:r>
    </w:p>
    <w:p>
      <w:pPr>
        <w:pStyle w:val="Style9"/>
        <w:keepNext w:val="0"/>
        <w:keepLines w:val="0"/>
        <w:widowControl w:val="0"/>
        <w:shd w:val="clear" w:color="auto" w:fill="auto"/>
        <w:bidi w:val="0"/>
        <w:spacing w:before="0" w:after="0" w:line="271" w:lineRule="auto"/>
        <w:ind w:left="0" w:right="0" w:firstLine="700"/>
        <w:jc w:val="both"/>
        <w:rPr>
          <w:sz w:val="22"/>
          <w:szCs w:val="22"/>
        </w:rPr>
        <w:sectPr>
          <w:headerReference w:type="default" r:id="rId15"/>
          <w:footerReference w:type="default" r:id="rId16"/>
          <w:footnotePr>
            <w:pos w:val="pageBottom"/>
            <w:numFmt w:val="decimal"/>
            <w:numRestart w:val="continuous"/>
          </w:footnotePr>
          <w:pgSz w:w="11900" w:h="16840"/>
          <w:pgMar w:top="1162" w:right="550" w:bottom="687" w:left="1106" w:header="0" w:footer="25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Заказчиком определен код ОКПД 2 - 81.29.19.000 «Услуги по чистке и уборке прочие, не включенные в другие группировки» путем соотнесения предмета закупки к соответствующему коду и наименованию позиции ОКПД 2 с учетом специфики закупки в области применения, так как Заказчик не закупает данные </w:t>
      </w:r>
      <w:r>
        <w:rPr>
          <w:rFonts w:ascii="Cambria" w:eastAsia="Cambria" w:hAnsi="Cambria" w:cs="Cambria"/>
          <w:color w:val="000000"/>
          <w:spacing w:val="0"/>
          <w:w w:val="100"/>
          <w:position w:val="0"/>
          <w:sz w:val="22"/>
          <w:szCs w:val="22"/>
          <w:shd w:val="clear" w:color="auto" w:fill="auto"/>
          <w:lang w:val="ru-RU" w:eastAsia="ru-RU" w:bidi="ru-RU"/>
        </w:rPr>
        <w:t>2024-46997</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услуги по отдельности, а закупает единый и неделимый комплекс взаимосвязанных услуг, который необходим Заказчику в полном объеме, также Исполнители участвовавшие в сборе ценовой информации оцениваю данную услуг как единую, в связи с этим у Заказчика нет возможности выделить услугу по уборке зданий, также Заказчик не может применить данный код ОКПД 2 в связи с тем что комплекс услуг включает в себя уборку прилегающей территории, и данный код ОКПД 2 не будет соответствовать объекту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ввиду того, что код ОКПД2 - 81.29.19.000 «Услуги по чистке и уборке прочие, не включенные в другие группировки» не входит в перечень Распоряжения №471-р, в связи чем у Заказчика нет обязанности осуществлять данную закупку путем проведения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Комиссией Управления установлено, что закупаемые услуги по уборке зданий, сооружений включены в аукционный перечень, ввиду чего осуществление закупки вышеуказанных услуг/работ посредством проведения открытого конкурса в электронной форме противоречит положениям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sectPr>
          <w:headerReference w:type="default" r:id="rId17"/>
          <w:footerReference w:type="default" r:id="rId18"/>
          <w:footnotePr>
            <w:pos w:val="pageBottom"/>
            <w:numFmt w:val="decimal"/>
            <w:numRestart w:val="continuous"/>
          </w:footnotePr>
          <w:pgSz w:w="11900" w:h="16840"/>
          <w:pgMar w:top="1162" w:right="555"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Заказчиком ч.6 ст.24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ч.2 ст.7.29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13"/>
        </w:numPr>
        <w:shd w:val="clear" w:color="auto" w:fill="auto"/>
        <w:tabs>
          <w:tab w:pos="1389" w:val="left"/>
          <w:tab w:pos="141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ИП Истратов И.Е. на действия МГТУ им.</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Н.Э. Баумана обоснованной.</w:t>
      </w:r>
    </w:p>
    <w:p>
      <w:pPr>
        <w:pStyle w:val="Style9"/>
        <w:keepNext w:val="0"/>
        <w:keepLines w:val="0"/>
        <w:widowControl w:val="0"/>
        <w:numPr>
          <w:ilvl w:val="0"/>
          <w:numId w:val="13"/>
        </w:numPr>
        <w:shd w:val="clear" w:color="auto" w:fill="auto"/>
        <w:tabs>
          <w:tab w:pos="1389" w:val="left"/>
          <w:tab w:pos="141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ч.6 ст.24 Закона о</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контрактной системе.</w:t>
      </w:r>
    </w:p>
    <w:p>
      <w:pPr>
        <w:pStyle w:val="Style9"/>
        <w:keepNext w:val="0"/>
        <w:keepLines w:val="0"/>
        <w:widowControl w:val="0"/>
        <w:numPr>
          <w:ilvl w:val="0"/>
          <w:numId w:val="13"/>
        </w:numPr>
        <w:shd w:val="clear" w:color="auto" w:fill="auto"/>
        <w:tabs>
          <w:tab w:pos="138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13"/>
        </w:numPr>
        <w:shd w:val="clear" w:color="auto" w:fill="auto"/>
        <w:tabs>
          <w:tab w:pos="1389" w:val="left"/>
        </w:tabs>
        <w:bidi w:val="0"/>
        <w:spacing w:before="0" w:after="28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484" w:bottom="1374" w:left="1106" w:header="0" w:footer="3" w:gutter="0"/>
          <w:cols w:space="720"/>
          <w:noEndnote/>
          <w:rtlGutter w:val="0"/>
          <w:docGrid w:linePitch="360"/>
        </w:sectPr>
      </w:pPr>
      <w:r>
        <mc:AlternateContent>
          <mc:Choice Requires="wps">
            <w:drawing>
              <wp:anchor distT="330200" distB="203835" distL="0" distR="0" simplePos="0" relativeHeight="125829383" behindDoc="0" locked="0" layoutInCell="1" allowOverlap="1">
                <wp:simplePos x="0" y="0"/>
                <wp:positionH relativeFrom="page">
                  <wp:posOffset>735965</wp:posOffset>
                </wp:positionH>
                <wp:positionV relativeFrom="paragraph">
                  <wp:posOffset>330200</wp:posOffset>
                </wp:positionV>
                <wp:extent cx="1850390" cy="250190"/>
                <wp:wrapTopAndBottom/>
                <wp:docPr id="23" name="Shape 23"/>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7.950000000000003pt;margin-top:26.pt;width:145.70000000000002pt;height:19.699999999999999pt;z-index:-125829370;mso-wrap-distance-left:0;mso-wrap-distance-top:26.pt;mso-wrap-distance-right:0;mso-wrap-distance-bottom:16.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21640" distB="0" distL="0" distR="1807210" simplePos="0" relativeHeight="125829385" behindDoc="0" locked="0" layoutInCell="1" allowOverlap="1">
            <wp:simplePos x="0" y="0"/>
            <wp:positionH relativeFrom="page">
              <wp:posOffset>3131820</wp:posOffset>
            </wp:positionH>
            <wp:positionV relativeFrom="paragraph">
              <wp:posOffset>421640</wp:posOffset>
            </wp:positionV>
            <wp:extent cx="311150" cy="36576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491490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55000000000001pt;margin-top:38.700000000000003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51790" distB="179705" distL="0" distR="0" simplePos="0" relativeHeight="125829386" behindDoc="0" locked="0" layoutInCell="1" allowOverlap="1">
                <wp:simplePos x="0" y="0"/>
                <wp:positionH relativeFrom="page">
                  <wp:posOffset>6073140</wp:posOffset>
                </wp:positionH>
                <wp:positionV relativeFrom="paragraph">
                  <wp:posOffset>351790</wp:posOffset>
                </wp:positionV>
                <wp:extent cx="1176655" cy="252730"/>
                <wp:wrapTopAndBottom/>
                <wp:docPr id="29" name="Shape 29"/>
                <a:graphic xmlns:a="http://schemas.openxmlformats.org/drawingml/2006/main">
                  <a:graphicData uri="http://schemas.microsoft.com/office/word/2010/wordprocessingShape">
                    <wps:wsp>
                      <wps:cNvSpPr txBox="1"/>
                      <wps:spPr>
                        <a:xfrm>
                          <a:ext cx="1176655"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5" type="#_x0000_t202" style="position:absolute;margin-left:478.19999999999999pt;margin-top:27.699999999999999pt;width:92.650000000000006pt;height:19.900000000000002pt;z-index:-125829367;mso-wrap-distance-left:0;mso-wrap-distance-top:27.699999999999999pt;mso-wrap-distance-right:0;mso-wrap-distance-bottom:14.1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5"/>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009Е4В25САЕ808О44Е0В7ВЕ0438СО1</w:t>
      </w:r>
      <w:r>
        <w:rPr>
          <w:color w:val="262626"/>
          <w:spacing w:val="0"/>
          <w:w w:val="100"/>
          <w:position w:val="0"/>
          <w:shd w:val="clear" w:color="auto" w:fill="auto"/>
          <w:lang w:val="ru-RU" w:eastAsia="ru-RU" w:bidi="ru-RU"/>
        </w:rPr>
        <w:t>12В</w:t>
      </w:r>
      <w:r>
        <w:rPr>
          <w:color w:val="262626"/>
          <w:spacing w:val="0"/>
          <w:w w:val="100"/>
          <w:position w:val="0"/>
          <w:shd w:val="clear" w:color="auto" w:fill="auto"/>
          <w:lang w:val="ru-RU" w:eastAsia="ru-RU" w:bidi="ru-RU"/>
        </w:rPr>
        <w:t>4</w:t>
      </w:r>
    </w:p>
    <w:p>
      <w:pPr>
        <w:pStyle w:val="Style25"/>
        <w:keepNext w:val="0"/>
        <w:keepLines w:val="0"/>
        <w:widowControl w:val="0"/>
        <w:shd w:val="clear" w:color="auto" w:fill="auto"/>
        <w:bidi w:val="0"/>
        <w:spacing w:before="0" w:after="32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21.03.2024 </w:t>
      </w:r>
      <w:r>
        <w:rPr>
          <w:color w:val="6B6B6B"/>
          <w:spacing w:val="0"/>
          <w:w w:val="100"/>
          <w:position w:val="0"/>
          <w:shd w:val="clear" w:color="auto" w:fill="auto"/>
          <w:lang w:val="ru-RU" w:eastAsia="ru-RU" w:bidi="ru-RU"/>
        </w:rPr>
        <w:t>по 14.06.2025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8" behindDoc="0" locked="0" layoutInCell="1" allowOverlap="1">
            <wp:simplePos x="0" y="0"/>
            <wp:positionH relativeFrom="page">
              <wp:posOffset>3073400</wp:posOffset>
            </wp:positionH>
            <wp:positionV relativeFrom="paragraph">
              <wp:posOffset>25400</wp:posOffset>
            </wp:positionV>
            <wp:extent cx="389890" cy="57277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1"/>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3569970</wp:posOffset>
                </wp:positionH>
                <wp:positionV relativeFrom="paragraph">
                  <wp:posOffset>461010</wp:posOffset>
                </wp:positionV>
                <wp:extent cx="1280160" cy="103505"/>
                <wp:wrapNone/>
                <wp:docPr id="33" name="Shape 3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81.10000000000002pt;margin-top:36.300000000000004pt;width:100.8pt;height:8.15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3524250</wp:posOffset>
                </wp:positionH>
                <wp:positionV relativeFrom="paragraph">
                  <wp:posOffset>150495</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5pt;margin-top:11.85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Мартьянова Елена Дмитриевна</w:t>
      </w:r>
    </w:p>
    <w:p>
      <w:pPr>
        <w:pStyle w:val="Style25"/>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0092302А1Е2Е82694604ЕЕР7722П2557ЕЕ</w:t>
      </w:r>
    </w:p>
    <w:p>
      <w:pPr>
        <w:pStyle w:val="Style25"/>
        <w:keepNext w:val="0"/>
        <w:keepLines w:val="0"/>
        <w:widowControl w:val="0"/>
        <w:shd w:val="clear" w:color="auto" w:fill="auto"/>
        <w:bidi w:val="0"/>
        <w:spacing w:before="0" w:after="22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05.12.2023 </w:t>
      </w:r>
      <w:r>
        <w:rPr>
          <w:color w:val="6B6B6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27.02.2025</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9" behindDoc="0" locked="0" layoutInCell="1" allowOverlap="1">
            <wp:simplePos x="0" y="0"/>
            <wp:positionH relativeFrom="page">
              <wp:posOffset>3073400</wp:posOffset>
            </wp:positionH>
            <wp:positionV relativeFrom="paragraph">
              <wp:posOffset>25400</wp:posOffset>
            </wp:positionV>
            <wp:extent cx="389890" cy="57277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3"/>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3569970</wp:posOffset>
                </wp:positionH>
                <wp:positionV relativeFrom="paragraph">
                  <wp:posOffset>464185</wp:posOffset>
                </wp:positionV>
                <wp:extent cx="1280160" cy="100330"/>
                <wp:wrapNone/>
                <wp:docPr id="39" name="Shape 3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5" type="#_x0000_t202" style="position:absolute;margin-left:281.10000000000002pt;margin-top:36.550000000000004pt;width:100.8pt;height:7.9000000000000004pt;z-index:251657735;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3524250</wp:posOffset>
                </wp:positionH>
                <wp:positionV relativeFrom="paragraph">
                  <wp:posOffset>153670</wp:posOffset>
                </wp:positionV>
                <wp:extent cx="1725295" cy="255905"/>
                <wp:wrapNone/>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5pt;margin-top:12.1pt;width:135.84999999999999pt;height:20.15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5"/>
        <w:keepNext w:val="0"/>
        <w:keepLines w:val="0"/>
        <w:widowControl w:val="0"/>
        <w:shd w:val="clear" w:color="auto" w:fill="auto"/>
        <w:bidi w:val="0"/>
        <w:spacing w:before="0" w:after="0" w:line="276" w:lineRule="auto"/>
        <w:ind w:right="0" w:firstLine="0"/>
        <w:jc w:val="left"/>
      </w:pPr>
      <w:r>
        <w:rPr>
          <w:color w:val="6B6B6B"/>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Матюшенко Александр Александрович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2Е366ЕОЗОЕЕ902О8968ЕА4В2С7Э60465</w:t>
      </w:r>
    </w:p>
    <w:p>
      <w:pPr>
        <w:pStyle w:val="Style25"/>
        <w:keepNext w:val="0"/>
        <w:keepLines w:val="0"/>
        <w:widowControl w:val="0"/>
        <w:shd w:val="clear" w:color="auto" w:fill="auto"/>
        <w:bidi w:val="0"/>
        <w:spacing w:before="0" w:after="2880" w:line="276" w:lineRule="auto"/>
        <w:ind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20.05.2024 </w:t>
      </w:r>
      <w:r>
        <w:rPr>
          <w:color w:val="6B6B6B"/>
          <w:spacing w:val="0"/>
          <w:w w:val="100"/>
          <w:position w:val="0"/>
          <w:shd w:val="clear" w:color="auto" w:fill="auto"/>
          <w:lang w:val="ru-RU" w:eastAsia="ru-RU" w:bidi="ru-RU"/>
        </w:rPr>
        <w:t>по 13.08.2025</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58" w:right="484"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2024-46997</w:t>
                          </w:r>
                        </w:p>
                      </w:txbxContent>
                    </wps:txbx>
                    <wps:bodyPr wrap="none" lIns="0" tIns="0" rIns="0" bIns="0">
                      <a:spAutoFit/>
                    </wps:bodyPr>
                  </wps:wsp>
                </a:graphicData>
              </a:graphic>
            </wp:anchor>
          </w:drawing>
        </mc:Choice>
        <mc:Fallback>
          <w:pict>
            <v:shape id="_x0000_s1031" type="#_x0000_t202" style="position:absolute;margin-left:57.pt;margin-top:804.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2024-46997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726440</wp:posOffset>
              </wp:positionH>
              <wp:positionV relativeFrom="page">
                <wp:posOffset>10092690</wp:posOffset>
              </wp:positionV>
              <wp:extent cx="725170" cy="100330"/>
              <wp:wrapNone/>
              <wp:docPr id="15" name="Shape 1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2024-46997</w:t>
                          </w:r>
                        </w:p>
                      </w:txbxContent>
                    </wps:txbx>
                    <wps:bodyPr wrap="none" lIns="0" tIns="0" rIns="0" bIns="0">
                      <a:spAutoFit/>
                    </wps:bodyPr>
                  </wps:wsp>
                </a:graphicData>
              </a:graphic>
            </wp:anchor>
          </w:drawing>
        </mc:Choice>
        <mc:Fallback>
          <w:pict>
            <v:shape id="_x0000_s1041" type="#_x0000_t202" style="position:absolute;margin-left:57.200000000000003pt;margin-top:794.70000000000005pt;width:57.100000000000001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2024-46997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726440</wp:posOffset>
              </wp:positionH>
              <wp:positionV relativeFrom="page">
                <wp:posOffset>10092690</wp:posOffset>
              </wp:positionV>
              <wp:extent cx="725170" cy="100330"/>
              <wp:wrapNone/>
              <wp:docPr id="21" name="Shape 2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2024-46997</w:t>
                          </w:r>
                        </w:p>
                      </w:txbxContent>
                    </wps:txbx>
                    <wps:bodyPr wrap="none" lIns="0" tIns="0" rIns="0" bIns="0">
                      <a:spAutoFit/>
                    </wps:bodyPr>
                  </wps:wsp>
                </a:graphicData>
              </a:graphic>
            </wp:anchor>
          </w:drawing>
        </mc:Choice>
        <mc:Fallback>
          <w:pict>
            <v:shape id="_x0000_s1047" type="#_x0000_t202" style="position:absolute;margin-left:57.200000000000003pt;margin-top:794.70000000000005pt;width:57.100000000000001pt;height:7.9000000000000004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2024-46997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3924935</wp:posOffset>
              </wp:positionH>
              <wp:positionV relativeFrom="page">
                <wp:posOffset>414020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05000000000001pt;margin-top:32.600000000000001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3902710</wp:posOffset>
              </wp:positionH>
              <wp:positionV relativeFrom="page">
                <wp:posOffset>476250</wp:posOffset>
              </wp:positionV>
              <wp:extent cx="128270" cy="103505"/>
              <wp:wrapNone/>
              <wp:docPr id="13" name="Shape 1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30000000000001pt;margin-top:37.5pt;width:10.1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3924935</wp:posOffset>
              </wp:positionH>
              <wp:positionV relativeFrom="page">
                <wp:posOffset>414020</wp:posOffset>
              </wp:positionV>
              <wp:extent cx="67310" cy="103505"/>
              <wp:wrapNone/>
              <wp:docPr id="17" name="Shape 1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05000000000001pt;margin-top:32.600000000000001pt;width:5.2999999999999998pt;height:8.15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3902710</wp:posOffset>
              </wp:positionH>
              <wp:positionV relativeFrom="page">
                <wp:posOffset>476250</wp:posOffset>
              </wp:positionV>
              <wp:extent cx="128270" cy="103505"/>
              <wp:wrapNone/>
              <wp:docPr id="19" name="Shape 19"/>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7.30000000000001pt;margin-top:37.5pt;width:10.1pt;height:8.15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4">
    <w:name w:val="Основной текст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54545"/>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3">
    <w:name w:val="Основной текст (5)"/>
    <w:basedOn w:val="Normal"/>
    <w:link w:val="CharStyle24"/>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5">
    <w:name w:val="Основной текст (2)"/>
    <w:basedOn w:val="Normal"/>
    <w:link w:val="CharStyle26"/>
    <w:pPr>
      <w:widowControl w:val="0"/>
      <w:shd w:val="clear" w:color="auto" w:fill="auto"/>
      <w:ind w:left="3820"/>
    </w:pPr>
    <w:rPr>
      <w:rFonts w:ascii="Arial" w:eastAsia="Arial" w:hAnsi="Arial" w:cs="Arial"/>
      <w:b w:val="0"/>
      <w:bCs w:val="0"/>
      <w:i w:val="0"/>
      <w:iCs w:val="0"/>
      <w:smallCaps w:val="0"/>
      <w:strike w:val="0"/>
      <w:color w:val="454545"/>
      <w:sz w:val="12"/>
      <w:szCs w:val="12"/>
      <w:u w:val="none"/>
    </w:rPr>
  </w:style>
  <w:style w:type="paragraph" w:customStyle="1" w:styleId="Style31">
    <w:name w:val="Основной текст (4)"/>
    <w:basedOn w:val="Normal"/>
    <w:link w:val="CharStyle32"/>
    <w:pPr>
      <w:widowControl w:val="0"/>
      <w:shd w:val="clear" w:color="auto" w:fill="auto"/>
      <w:spacing w:after="1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s>
</file>