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08.10.2024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41522/24</w:t>
      </w:r>
      <w:bookmarkEnd w:id="0"/>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«ДС № 68 ДЗМ»</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Со1хк|1&lt;а1о\лМА@/ска\\ 11108.П1</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«Ремстрой» геет§81;8@тай.ги</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832" w:bottom="1173" w:left="1269" w:header="0" w:footer="3" w:gutter="0"/>
          <w:pgNumType w:start="1"/>
          <w:cols w:num="2" w:space="1276"/>
          <w:noEndnote/>
          <w:titlePg/>
          <w:rtlGutter w:val="0"/>
          <w:docGrid w:linePitch="360"/>
        </w:sectPr>
      </w:pPr>
      <w:r>
        <w:rPr>
          <w:color w:val="000000"/>
          <w:spacing w:val="0"/>
          <w:w w:val="100"/>
          <w:position w:val="0"/>
          <w:shd w:val="clear" w:color="auto" w:fill="auto"/>
          <w:lang w:val="ru-RU" w:eastAsia="ru-RU" w:bidi="ru-RU"/>
        </w:rPr>
        <w:t>АО«ЕЭТП» ко@го8екогд.ги</w:t>
      </w:r>
    </w:p>
    <w:p>
      <w:pPr>
        <w:widowControl w:val="0"/>
        <w:spacing w:line="181" w:lineRule="exact"/>
        <w:rPr>
          <w:sz w:val="15"/>
          <w:szCs w:val="15"/>
        </w:rPr>
      </w:pPr>
    </w:p>
    <w:p>
      <w:pPr>
        <w:widowControl w:val="0"/>
        <w:spacing w:line="1" w:lineRule="exact"/>
        <w:sectPr>
          <w:footnotePr>
            <w:pos w:val="pageBottom"/>
            <w:numFmt w:val="decimal"/>
            <w:numRestart w:val="continuous"/>
          </w:footnotePr>
          <w:type w:val="continuous"/>
          <w:pgSz w:w="11900" w:h="16840"/>
          <w:pgMar w:top="776" w:right="0" w:bottom="896" w:left="0" w:header="0" w:footer="3" w:gutter="0"/>
          <w:cols w:space="720"/>
          <w:noEndnote/>
          <w:rtlGutter w:val="0"/>
          <w:docGrid w:linePitch="360"/>
        </w:sectPr>
      </w:pPr>
    </w:p>
    <w:p>
      <w:pPr>
        <w:pStyle w:val="Style5"/>
        <w:keepNext w:val="0"/>
        <w:keepLines w:val="0"/>
        <w:widowControl w:val="0"/>
        <w:shd w:val="clear" w:color="auto" w:fill="auto"/>
        <w:bidi w:val="0"/>
        <w:spacing w:before="0" w:after="700" w:line="240" w:lineRule="auto"/>
        <w:ind w:left="0" w:right="0" w:firstLine="0"/>
        <w:jc w:val="both"/>
      </w:pPr>
      <w:r>
        <w:rPr>
          <w:spacing w:val="0"/>
          <w:w w:val="100"/>
          <w:position w:val="0"/>
          <w:shd w:val="clear" w:color="auto" w:fill="auto"/>
          <w:lang w:val="ru-RU" w:eastAsia="ru-RU" w:bidi="ru-RU"/>
        </w:rPr>
        <w:t xml:space="preserve">На№  от</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077/06/106-13341/2024 о нарушении</w:t>
        <w:br/>
        <w:t>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0" distR="0" simplePos="0" relativeHeight="125829378" behindDoc="0" locked="0" layoutInCell="1" allowOverlap="1">
                <wp:simplePos x="0" y="0"/>
                <wp:positionH relativeFrom="page">
                  <wp:posOffset>717550</wp:posOffset>
                </wp:positionH>
                <wp:positionV relativeFrom="paragraph">
                  <wp:posOffset>25400</wp:posOffset>
                </wp:positionV>
                <wp:extent cx="1185545" cy="460375"/>
                <wp:wrapSquare wrapText="right"/>
                <wp:docPr id="8" name="Shape 8"/>
                <a:graphic xmlns:a="http://schemas.openxmlformats.org/drawingml/2006/main">
                  <a:graphicData uri="http://schemas.microsoft.com/office/word/2010/wordprocessingShape">
                    <wps:wsp>
                      <wps:cNvSpPr txBox="1"/>
                      <wps:spPr>
                        <a:xfrm>
                          <a:ext cx="1185545" cy="4603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03.10.2024</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4" type="#_x0000_t202" style="position:absolute;margin-left:56.5pt;margin-top:2.pt;width:93.350000000000009pt;height:36.25pt;z-index:-125829375;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03.10.2024</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r>
        <w:rPr>
          <w:b/>
          <w:bCs/>
          <w:color w:val="000000"/>
          <w:spacing w:val="0"/>
          <w:w w:val="100"/>
          <w:position w:val="0"/>
          <w:shd w:val="clear" w:color="auto" w:fill="auto"/>
          <w:lang w:val="ru-RU" w:eastAsia="ru-RU" w:bidi="ru-RU"/>
        </w:rPr>
        <w:t>г. Москва</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Управления Федеральной антимонопольной службы</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 г. Москве по контролю в сфере закупок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 ГБУЗ «ДС № 68 ДЗМ»: М.А. Гордукаловой (по доверенности от 30.09.2024 №1), И.В. Балякина (по доверенности от 02.10.2024 №2),</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«Ремстрой», о времени и порядке заседания Комиссии Управления уведомлены надлежащим образом посредством Единой информационной системы,</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жалобу ООО «Ремстрой» (далее — Заявитель) на действия ГБУЗ «ДС № 68 ДЗМ» (далее — Заказчик) при проведении электронного аукциона на право заключения государственного контракта на поставку и монтаж оборудования системы контроля и управления доступом (СКУД), лицензий программного обеспечения (ПО) для Государственного бюджетного учреждения здравоохранения города Москвы «Детский бронхолегочный санаторий № 68 Департамента здравоохранения города Москвы» (Закупка № 0373200230524000140) (далее - аукцион, электронный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w:t>
      </w:r>
    </w:p>
    <w:p>
      <w:pPr>
        <w:pStyle w:val="Style12"/>
        <w:keepNext w:val="0"/>
        <w:keepLines w:val="0"/>
        <w:widowControl w:val="0"/>
        <w:shd w:val="clear" w:color="auto" w:fill="auto"/>
        <w:bidi w:val="0"/>
        <w:spacing w:before="0" w:after="280" w:line="240" w:lineRule="auto"/>
        <w:ind w:left="4020" w:right="0" w:hanging="4020"/>
        <w:jc w:val="both"/>
      </w:pPr>
      <w:r>
        <w:rPr>
          <w:color w:val="000000"/>
          <w:spacing w:val="0"/>
          <w:w w:val="100"/>
          <w:position w:val="0"/>
          <w:shd w:val="clear" w:color="auto" w:fill="auto"/>
          <w:lang w:val="ru-RU" w:eastAsia="ru-RU" w:bidi="ru-RU"/>
        </w:rPr>
        <w:t xml:space="preserve">контрактной системе), </w:t>
      </w: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 проведении закупки в нарушение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что в составе извещения Заказчиком неправомерно установлены требования к характеристикам товаров, наименования страны происхождения, а также информации и документов, подтверждающих страну происхождения товаров, поскольку закупаемый товар «Система контроля и управления доступом» и перечень к нему, являются используемыми при выполнении работ в рамках данной закупки, а не поставляемыми, что повлекло за собой на неправомерное установление ограничений в соответствии с постановлением Правительства Российской Федерации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 878) и условий допуска согласно приказу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отмечает, что в структурированной форме извещения виды оборудования, предусмотренные п.«Система контроля и управления доступом», отнесены к используемым материалам, поскольку к видам оборудования не установлены какие-либо требования.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Подобный вывод, по мнению подателя жалобы, подтверждают сведения Технического задания и сметной документации.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раздел 5 Технического задания устанавливает требования к используемому оборудованию. Приложение 3 к Техническому заданию перечисляет используемое оборудование при оказании услуг.</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Более того, с учетом представленных сведений извещения об осуществлении закупки, Заявитель приходит к выводу, что закупаемый товар «Система контроля и управления доступом» является результатам выполняемых работ, а не поставляемым товаров.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Аналогично, по мнению Заявителя, невозможно сделать однозначный вывод о наличии поставки при анализе порядка сдачи-приемки товаров, поскольку указанные положения порядка сдачи-приемки товаров подлежат применению </w:t>
      </w:r>
      <w:r>
        <w:rPr>
          <w:color w:val="000000"/>
          <w:spacing w:val="0"/>
          <w:w w:val="100"/>
          <w:position w:val="0"/>
          <w:shd w:val="clear" w:color="auto" w:fill="auto"/>
          <w:lang w:val="ru-RU" w:eastAsia="ru-RU" w:bidi="ru-RU"/>
        </w:rPr>
        <w:t>исключительно к товарам «Монитор, подключаемый к компьютеру» и «Источник бесперебойного питания», не указанные в составе п.«Система контроля и управления доступом» описания объекта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согласно сметной документации вышеуказанные товары также являются используемыми.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соответствии с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силу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объект закупочной процедуры является поставка и монтаж оборудования системы контроля и управления доступом (СКУД), лицензий программного обеспечения (ПО).</w:t>
      </w:r>
    </w:p>
    <w:p>
      <w:pPr>
        <w:pStyle w:val="Style12"/>
        <w:keepNext w:val="0"/>
        <w:keepLines w:val="0"/>
        <w:widowControl w:val="0"/>
        <w:shd w:val="clear" w:color="auto" w:fill="auto"/>
        <w:tabs>
          <w:tab w:pos="74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Комиссией Управления также определено, что описанием объекта закупки установлены следующие требования к закупаемому товару «Система контроля и управления доступом» кода ОКПД2 26.30.50.119: </w:t>
      </w:r>
      <w:r>
        <w:rPr>
          <w:i/>
          <w:iCs/>
          <w:color w:val="000000"/>
          <w:spacing w:val="0"/>
          <w:w w:val="100"/>
          <w:position w:val="0"/>
          <w:shd w:val="clear" w:color="auto" w:fill="auto"/>
          <w:lang w:val="ru-RU" w:eastAsia="ru-RU" w:bidi="ru-RU"/>
        </w:rPr>
        <w:t>«Вид оборудования (элемента): Система контроля и управления доступом; Количество пользователей, обслуживаемых системой: &gt; 280; Вид элемента системы контроля и управления доступом: Устройство преграждающее управляемое, Терминал доступа, Контроллер доступа, Вызывная панель, Идентификатор, Устройство исполнительное, Коммутационное оборудование, Прибор приемно-контрольный доступа, Терминал регистрации посетителей, Картоприемник, Видеодомофон, Считыватель; Функциональные особенности: Защита</w:t>
        <w:tab/>
        <w:t>от поддельных</w:t>
      </w:r>
    </w:p>
    <w:p>
      <w:pPr>
        <w:pStyle w:val="Style1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hd w:val="clear" w:color="auto" w:fill="auto"/>
          <w:lang w:val="ru-RU" w:eastAsia="ru-RU" w:bidi="ru-RU"/>
        </w:rPr>
        <w:t>идентификаций: Устойчивость к вскрытию, Учет рабочего времени, Возможность перезаписи кода, Устойчивость считывателей к наблюдению, Технология распознавания лиц, Механизм антиколлизии, Мобильная платформа, Устойчивость к копированию, Контроль наличия защитной маски на лице, Устойчивость к манипулированию, Водонепроницаемость, Защита от несанкционированного доступа к информации»</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Техническим заданием предусмотрены, в частности, следующие требования:</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w:t>
      </w:r>
      <w:r>
        <w:rPr>
          <w:b/>
          <w:bCs/>
          <w:i/>
          <w:iCs/>
          <w:color w:val="000000"/>
          <w:spacing w:val="0"/>
          <w:w w:val="100"/>
          <w:position w:val="0"/>
          <w:u w:val="single"/>
          <w:shd w:val="clear" w:color="auto" w:fill="auto"/>
          <w:lang w:val="ru-RU" w:eastAsia="ru-RU" w:bidi="ru-RU"/>
        </w:rPr>
        <w:t>Порядок сдачи-приемки</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предмет контракта и НМЦК включена стоимость поставки товара и его монтаж (установка//подключение). Поставляемые товары должны быть в заводской (фабричной) упаковке (при её наличии). Товар должен быть новым (не восстановленным и не бывшим в эксплуатации), оригинальным.</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течение 1 (одного) календарного дня с даты получения заявки от Заказчика, Подрядчик производит поставку товаров Источник бесперебойного питания тип 1 (1 шт), Монитор, подключаемый к компьютеру (1 шт), по адресу 141205, Московская область, Пушкинский район, г. Пушкино, ул. Пушкинское поле, д. 2, а также предоставляет Заказчику сертификаты, технические паспорта, регистрационные удостоверения, руководства по эксплуатации, результаты испытаний и другие документы (или их копии), удостоверяющие качество поставляемых товаров.</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соответствии с информацией, содержащейся в указанных документах, будет осуществляться приёмка товара. Поставляемые товары переходят на баланс Заказчика путём составления товарной накладной по форме ТОРГ-12, подлежат постановке на бухгалтерский учёт.</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Гарантия качества распространяются на все работы, выполненные исполнителем по контракту, в том числе на используемые в работе материалы и оборудование.</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Исполнитель предоставляет гарантию на проведенные работы 12 месяцев. Гарантия на замененные детали и комплектующие, материалы предоставляется в течение гарантийного срока, установленного изготовителем данных деталей и комплектующих.</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Товар, поставляемый Заказчику при оказании услуг должен быть новым, не бывшим в употреблении, в оригинальной упаковке (если упаковка предусмотрена), не должен быть переупакованным, упаковка товара не должна содержать повреждений, которые могут повлечь ухудшение свойств товара; на упаковках товара, либо в товаросопроводительных документах должна содержаться исчерпывающая информация, в том числе о производителе товара, адресе его местонахождения, товарном знаке (при наличии у производителя такового), стране происхождения и иной информации. Товары, Источник бесперебойного питания тип 1 (1 шт), Монитор, подключаемый к компьютеру (1 шт), поставляются для соответствующего монтажа при выполнении закупаемых услуг (работ) учитываются и принимаются к бухгалтерскому учету. Требования к ним предъявлены в Извещении о проведении закупки и в Приложении 1 к Техническому заданию. Какие-либо иные товары \ расходные материалы приниматься к бухгалтерскому учёту не будут. Оплата товара производится в соответствии с положениями контракта.</w:t>
      </w:r>
    </w:p>
    <w:p>
      <w:pPr>
        <w:pStyle w:val="Style12"/>
        <w:keepNext w:val="0"/>
        <w:keepLines w:val="0"/>
        <w:widowControl w:val="0"/>
        <w:shd w:val="clear" w:color="auto" w:fill="auto"/>
        <w:bidi w:val="0"/>
        <w:spacing w:before="0" w:after="0" w:line="240" w:lineRule="auto"/>
        <w:ind w:left="0" w:right="0" w:firstLine="720"/>
        <w:jc w:val="both"/>
      </w:pPr>
      <w:r>
        <w:rPr>
          <w:b/>
          <w:bCs/>
          <w:i/>
          <w:iCs/>
          <w:color w:val="000000"/>
          <w:spacing w:val="0"/>
          <w:w w:val="100"/>
          <w:position w:val="0"/>
          <w:u w:val="single"/>
          <w:shd w:val="clear" w:color="auto" w:fill="auto"/>
          <w:lang w:val="ru-RU" w:eastAsia="ru-RU" w:bidi="ru-RU"/>
        </w:rPr>
        <w:t>5 Требования к используемым материалам и оборудованию</w:t>
      </w:r>
    </w:p>
    <w:p>
      <w:pPr>
        <w:pStyle w:val="Style1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Используемые при выполнении работ материалы и оборудование должны соответствовать Приложению 3 «Сметная документация», требованиям технических регламентов или техническим условиям завода-изготовителя, требованиям сертификации, а также должны быть разрешены к использованию на территории Российской Федерации».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 9 ч. 1 ст. 42 Закона о контрактной системе извещение об осуществлении закупки должно содержать информацию, в том числе, о начальной (максимальной) цене контракта (цене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2 ч. 2 ст.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обоснование начальной (максимальной) цены контракта.</w:t>
      </w:r>
    </w:p>
    <w:p>
      <w:pPr>
        <w:pStyle w:val="Style12"/>
        <w:keepNext w:val="0"/>
        <w:keepLines w:val="0"/>
        <w:widowControl w:val="0"/>
        <w:pBdr>
          <w:bottom w:val="single" w:sz="4" w:space="0" w:color="auto"/>
        </w:pBdr>
        <w:shd w:val="clear" w:color="auto" w:fill="auto"/>
        <w:bidi w:val="0"/>
        <w:spacing w:before="0" w:after="4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извещения об осуществлении электронного аукциона размещен электронный документ «Расчет НМЦК(Д)», содержащий следующую информацию, в частности:</w:t>
      </w:r>
    </w:p>
    <w:p>
      <w:pPr>
        <w:pStyle w:val="Style21"/>
        <w:keepNext w:val="0"/>
        <w:keepLines w:val="0"/>
        <w:widowControl w:val="0"/>
        <w:shd w:val="clear" w:color="auto" w:fill="auto"/>
        <w:bidi w:val="0"/>
        <w:spacing w:before="0" w:after="0" w:line="240" w:lineRule="auto"/>
        <w:ind w:left="34" w:right="0" w:firstLine="0"/>
        <w:jc w:val="left"/>
      </w:pPr>
      <w:r>
        <w:rPr>
          <w:spacing w:val="0"/>
          <w:w w:val="100"/>
          <w:position w:val="0"/>
          <w:shd w:val="clear" w:color="auto" w:fill="auto"/>
          <w:lang w:val="ru-RU" w:eastAsia="ru-RU" w:bidi="ru-RU"/>
        </w:rPr>
        <w:t>Раздел 1. Монтаж оборудования</w:t>
      </w:r>
    </w:p>
    <w:tbl>
      <w:tblPr>
        <w:tblOverlap w:val="never"/>
        <w:jc w:val="center"/>
        <w:tblLayout w:type="fixed"/>
      </w:tblPr>
      <w:tblGrid>
        <w:gridCol w:w="955"/>
        <w:gridCol w:w="2506"/>
        <w:gridCol w:w="3979"/>
        <w:gridCol w:w="864"/>
        <w:gridCol w:w="797"/>
        <w:gridCol w:w="1114"/>
      </w:tblGrid>
      <w:tr>
        <w:trPr>
          <w:trHeight w:val="442"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1.22-3303-3-1/1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Елок контроля датчиков (контроллер), устройство</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262427"/>
                <w:spacing w:val="0"/>
                <w:w w:val="100"/>
                <w:position w:val="0"/>
                <w:sz w:val="14"/>
                <w:szCs w:val="14"/>
                <w:shd w:val="clear" w:color="auto" w:fill="auto"/>
                <w:lang w:val="ru-RU" w:eastAsia="ru-RU" w:bidi="ru-RU"/>
              </w:rPr>
              <w:t>10 шт.</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11 665.41</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 xml:space="preserve">□ бъем=1 </w:t>
            </w:r>
            <w:r>
              <w:rPr>
                <w:rFonts w:ascii="Arial" w:eastAsia="Arial" w:hAnsi="Arial" w:cs="Arial"/>
                <w:color w:val="525152"/>
                <w:spacing w:val="0"/>
                <w:w w:val="100"/>
                <w:position w:val="0"/>
                <w:sz w:val="14"/>
                <w:szCs w:val="14"/>
                <w:shd w:val="clear" w:color="auto" w:fill="auto"/>
                <w:lang w:val="ru-RU" w:eastAsia="ru-RU" w:bidi="ru-RU"/>
              </w:rPr>
              <w:t>/</w:t>
            </w:r>
            <w:r>
              <w:rPr>
                <w:rFonts w:ascii="Arial" w:eastAsia="Arial" w:hAnsi="Arial" w:cs="Arial"/>
                <w:color w:val="262427"/>
                <w:spacing w:val="0"/>
                <w:w w:val="100"/>
                <w:position w:val="0"/>
                <w:sz w:val="14"/>
                <w:szCs w:val="14"/>
                <w:shd w:val="clear" w:color="auto" w:fill="auto"/>
                <w:lang w:val="ru-RU" w:eastAsia="ru-RU" w:bidi="ru-RU"/>
              </w:rPr>
              <w:t>16</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22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ЗП</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11 645,69</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ЭМ</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3,71</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 </w:t>
            </w:r>
            <w:r>
              <w:rPr>
                <w:rFonts w:ascii="Arial" w:eastAsia="Arial" w:hAnsi="Arial" w:cs="Arial"/>
                <w:color w:val="262427"/>
                <w:spacing w:val="0"/>
                <w:w w:val="100"/>
                <w:position w:val="0"/>
                <w:sz w:val="14"/>
                <w:szCs w:val="14"/>
                <w:shd w:val="clear" w:color="auto" w:fill="auto"/>
                <w:lang w:val="ru-RU" w:eastAsia="ru-RU" w:bidi="ru-RU"/>
              </w:rPr>
              <w:t>т.ч. ЗПМ</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'(0,01)</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16,01</w:t>
            </w:r>
          </w:p>
        </w:tc>
      </w:tr>
      <w:tr>
        <w:trPr>
          <w:trHeight w:val="21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ЗТР</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323135"/>
                <w:spacing w:val="0"/>
                <w:w w:val="100"/>
                <w:position w:val="0"/>
                <w:sz w:val="14"/>
                <w:szCs w:val="14"/>
                <w:shd w:val="clear" w:color="auto" w:fill="auto"/>
                <w:lang w:val="ru-RU" w:eastAsia="ru-RU" w:bidi="ru-RU"/>
              </w:rPr>
              <w:t>чел-ч</w:t>
            </w:r>
          </w:p>
        </w:tc>
        <w:tc>
          <w:tcPr>
            <w:tcBorders>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34,45</w:t>
            </w:r>
          </w:p>
        </w:tc>
        <w:tc>
          <w:tcPr>
            <w:tcBorders/>
            <w:shd w:val="clear" w:color="auto" w:fill="auto"/>
            <w:vAlign w:val="top"/>
          </w:tcPr>
          <w:p>
            <w:pPr>
              <w:widowControl w:val="0"/>
              <w:rPr>
                <w:sz w:val="10"/>
                <w:szCs w:val="10"/>
              </w:rPr>
            </w:pPr>
          </w:p>
        </w:tc>
      </w:tr>
      <w:tr>
        <w:trPr>
          <w:trHeight w:val="221" w:hRule="exact"/>
        </w:trPr>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 xml:space="preserve">НРотОЗП </w:t>
            </w:r>
            <w:r>
              <w:rPr>
                <w:rFonts w:ascii="Arial" w:eastAsia="Arial" w:hAnsi="Arial" w:cs="Arial"/>
                <w:color w:val="525152"/>
                <w:spacing w:val="0"/>
                <w:w w:val="100"/>
                <w:position w:val="0"/>
                <w:sz w:val="14"/>
                <w:szCs w:val="14"/>
                <w:shd w:val="clear" w:color="auto" w:fill="auto"/>
                <w:lang w:val="ru-RU" w:eastAsia="ru-RU" w:bidi="ru-RU"/>
              </w:rPr>
              <w:t>(70)</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323135"/>
                <w:spacing w:val="0"/>
                <w:w w:val="100"/>
                <w:position w:val="0"/>
                <w:sz w:val="14"/>
                <w:szCs w:val="14"/>
                <w:shd w:val="clear" w:color="auto" w:fill="auto"/>
                <w:lang w:val="ru-RU" w:eastAsia="ru-RU" w:bidi="ru-RU"/>
              </w:rPr>
              <w:t>%</w:t>
            </w:r>
          </w:p>
        </w:tc>
        <w:tc>
          <w:tcPr>
            <w:tcBorders>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70</w:t>
            </w:r>
          </w:p>
        </w:tc>
        <w:tc>
          <w:tcPr>
            <w:tcBorders>
              <w:top w:val="single" w:sz="4"/>
            </w:tcBorders>
            <w:shd w:val="clear" w:color="auto" w:fill="auto"/>
            <w:vAlign w:val="top"/>
          </w:tcPr>
          <w:p>
            <w:pPr>
              <w:widowControl w:val="0"/>
              <w:rPr>
                <w:sz w:val="10"/>
                <w:szCs w:val="10"/>
              </w:rPr>
            </w:pPr>
          </w:p>
        </w:tc>
      </w:tr>
      <w:tr>
        <w:trPr>
          <w:trHeight w:val="221" w:hRule="exact"/>
        </w:trPr>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 xml:space="preserve">СП </w:t>
            </w:r>
            <w:r>
              <w:rPr>
                <w:rFonts w:ascii="Arial" w:eastAsia="Arial" w:hAnsi="Arial" w:cs="Arial"/>
                <w:color w:val="000000"/>
                <w:spacing w:val="0"/>
                <w:w w:val="100"/>
                <w:position w:val="0"/>
                <w:sz w:val="14"/>
                <w:szCs w:val="14"/>
                <w:shd w:val="clear" w:color="auto" w:fill="auto"/>
                <w:lang w:val="ru-RU" w:eastAsia="ru-RU" w:bidi="ru-RU"/>
              </w:rPr>
              <w:t xml:space="preserve">от </w:t>
            </w:r>
            <w:r>
              <w:rPr>
                <w:rFonts w:ascii="Arial" w:eastAsia="Arial" w:hAnsi="Arial" w:cs="Arial"/>
                <w:color w:val="262427"/>
                <w:spacing w:val="0"/>
                <w:w w:val="100"/>
                <w:position w:val="0"/>
                <w:sz w:val="14"/>
                <w:szCs w:val="14"/>
                <w:shd w:val="clear" w:color="auto" w:fill="auto"/>
                <w:lang w:val="ru-RU" w:eastAsia="ru-RU" w:bidi="ru-RU"/>
              </w:rPr>
              <w:t>ОЗП (10)</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323135"/>
                <w:spacing w:val="0"/>
                <w:w w:val="100"/>
                <w:position w:val="0"/>
                <w:sz w:val="14"/>
                <w:szCs w:val="14"/>
                <w:shd w:val="clear" w:color="auto" w:fill="auto"/>
                <w:lang w:val="ru-RU" w:eastAsia="ru-RU" w:bidi="ru-RU"/>
              </w:rPr>
              <w:t>%</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B0D17"/>
                <w:spacing w:val="0"/>
                <w:w w:val="100"/>
                <w:position w:val="0"/>
                <w:sz w:val="14"/>
                <w:szCs w:val="14"/>
                <w:shd w:val="clear" w:color="auto" w:fill="auto"/>
                <w:lang w:val="ru-RU" w:eastAsia="ru-RU" w:bidi="ru-RU"/>
              </w:rPr>
              <w:t>10</w:t>
            </w:r>
          </w:p>
        </w:tc>
        <w:tc>
          <w:tcPr>
            <w:tcBorders>
              <w:top w:val="single" w:sz="4"/>
            </w:tcBorders>
            <w:shd w:val="clear" w:color="auto" w:fill="auto"/>
            <w:vAlign w:val="top"/>
          </w:tcPr>
          <w:p>
            <w:pPr>
              <w:widowControl w:val="0"/>
              <w:rPr>
                <w:sz w:val="10"/>
                <w:szCs w:val="10"/>
              </w:rPr>
            </w:pP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 xml:space="preserve">НР </w:t>
            </w:r>
            <w:r>
              <w:rPr>
                <w:rFonts w:ascii="Arial" w:eastAsia="Arial" w:hAnsi="Arial" w:cs="Arial"/>
                <w:color w:val="323135"/>
                <w:spacing w:val="0"/>
                <w:w w:val="100"/>
                <w:position w:val="0"/>
                <w:sz w:val="14"/>
                <w:szCs w:val="14"/>
                <w:shd w:val="clear" w:color="auto" w:fill="auto"/>
                <w:lang w:val="ru-RU" w:eastAsia="ru-RU" w:bidi="ru-RU"/>
              </w:rPr>
              <w:t xml:space="preserve">и </w:t>
            </w:r>
            <w:r>
              <w:rPr>
                <w:rFonts w:ascii="Arial" w:eastAsia="Arial" w:hAnsi="Arial" w:cs="Arial"/>
                <w:color w:val="262427"/>
                <w:spacing w:val="0"/>
                <w:w w:val="100"/>
                <w:position w:val="0"/>
                <w:sz w:val="14"/>
                <w:szCs w:val="14"/>
                <w:shd w:val="clear" w:color="auto" w:fill="auto"/>
                <w:lang w:val="ru-RU" w:eastAsia="ru-RU" w:bidi="ru-RU"/>
              </w:rPr>
              <w:t xml:space="preserve">СП от ЗПМ (7В </w:t>
            </w:r>
            <w:r>
              <w:rPr>
                <w:rFonts w:ascii="Arial" w:eastAsia="Arial" w:hAnsi="Arial" w:cs="Arial"/>
                <w:color w:val="323135"/>
                <w:spacing w:val="0"/>
                <w:w w:val="100"/>
                <w:position w:val="0"/>
                <w:sz w:val="14"/>
                <w:szCs w:val="14"/>
                <w:shd w:val="clear" w:color="auto" w:fill="auto"/>
                <w:lang w:val="ru-RU" w:eastAsia="ru-RU" w:bidi="ru-RU"/>
              </w:rPr>
              <w:t>и 30)</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323135"/>
                <w:spacing w:val="0"/>
                <w:w w:val="100"/>
                <w:position w:val="0"/>
                <w:sz w:val="14"/>
                <w:szCs w:val="14"/>
                <w:shd w:val="clear" w:color="auto" w:fill="auto"/>
                <w:lang w:val="ru-RU" w:eastAsia="ru-RU" w:bidi="ru-RU"/>
              </w:rPr>
              <w:t>%</w:t>
            </w:r>
          </w:p>
        </w:tc>
        <w:tc>
          <w:tcPr>
            <w:tcBorders>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103</w:t>
            </w:r>
          </w:p>
        </w:tc>
        <w:tc>
          <w:tcPr>
            <w:tcBorders/>
            <w:shd w:val="clear" w:color="auto" w:fill="auto"/>
            <w:vAlign w:val="top"/>
          </w:tcPr>
          <w:p>
            <w:pPr>
              <w:widowControl w:val="0"/>
              <w:rPr>
                <w:sz w:val="10"/>
                <w:szCs w:val="10"/>
              </w:rPr>
            </w:pPr>
          </w:p>
        </w:tc>
      </w:tr>
      <w:tr>
        <w:trPr>
          <w:trHeight w:val="283"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Всего </w:t>
            </w:r>
            <w:r>
              <w:rPr>
                <w:rFonts w:ascii="Arial" w:eastAsia="Arial" w:hAnsi="Arial" w:cs="Arial"/>
                <w:color w:val="262427"/>
                <w:spacing w:val="0"/>
                <w:w w:val="100"/>
                <w:position w:val="0"/>
                <w:sz w:val="14"/>
                <w:szCs w:val="14"/>
                <w:shd w:val="clear" w:color="auto" w:fill="auto"/>
                <w:lang w:val="ru-RU" w:eastAsia="ru-RU" w:bidi="ru-RU"/>
              </w:rPr>
              <w:t>по позиции</w:t>
            </w:r>
          </w:p>
        </w:tc>
        <w:tc>
          <w:tcPr>
            <w:tcBorders/>
            <w:shd w:val="clear" w:color="auto" w:fill="auto"/>
            <w:vAlign w:val="top"/>
          </w:tcPr>
          <w:p>
            <w:pPr>
              <w:widowControl w:val="0"/>
              <w:rPr>
                <w:sz w:val="10"/>
                <w:szCs w:val="10"/>
              </w:rPr>
            </w:pPr>
          </w:p>
        </w:tc>
        <w:tc>
          <w:tcPr>
            <w:tcBorders>
              <w:left w:val="single" w:sz="4"/>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874"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42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2</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314"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ТЦ_В9.1.61.02_1 _010 50707В1 _19 _09_2023_02</w:t>
            </w: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322"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 xml:space="preserve">С2000-2 Контроллер доступа на </w:t>
            </w:r>
            <w:r>
              <w:rPr>
                <w:rFonts w:ascii="Arial" w:eastAsia="Arial" w:hAnsi="Arial" w:cs="Arial"/>
                <w:smallCaps/>
                <w:color w:val="000000"/>
                <w:spacing w:val="0"/>
                <w:w w:val="100"/>
                <w:position w:val="0"/>
                <w:sz w:val="14"/>
                <w:szCs w:val="14"/>
                <w:shd w:val="clear" w:color="auto" w:fill="auto"/>
                <w:lang w:val="ru-RU" w:eastAsia="ru-RU" w:bidi="ru-RU"/>
              </w:rPr>
              <w:t>дез</w:t>
            </w:r>
            <w:r>
              <w:rPr>
                <w:rFonts w:ascii="Arial" w:eastAsia="Arial" w:hAnsi="Arial" w:cs="Arial"/>
                <w:color w:val="000000"/>
                <w:spacing w:val="0"/>
                <w:w w:val="100"/>
                <w:position w:val="0"/>
                <w:sz w:val="14"/>
                <w:szCs w:val="14"/>
                <w:shd w:val="clear" w:color="auto" w:fill="auto"/>
                <w:lang w:val="ru-RU" w:eastAsia="ru-RU" w:bidi="ru-RU"/>
              </w:rPr>
              <w:t xml:space="preserve"> </w:t>
            </w:r>
            <w:r>
              <w:rPr>
                <w:rFonts w:ascii="Arial" w:eastAsia="Arial" w:hAnsi="Arial" w:cs="Arial"/>
                <w:color w:val="262427"/>
                <w:spacing w:val="0"/>
                <w:w w:val="100"/>
                <w:position w:val="0"/>
                <w:sz w:val="14"/>
                <w:szCs w:val="14"/>
                <w:shd w:val="clear" w:color="auto" w:fill="auto"/>
                <w:lang w:val="ru-RU" w:eastAsia="ru-RU" w:bidi="ru-RU"/>
              </w:rPr>
              <w:t xml:space="preserve">считывателя. Интерфейс Тписб Метогу или Виганд. Объем памяти - 32763 пользователей. Два охранных шлейфа и </w:t>
            </w:r>
            <w:r>
              <w:rPr>
                <w:rFonts w:ascii="Arial" w:eastAsia="Arial" w:hAnsi="Arial" w:cs="Arial"/>
                <w:color w:val="000000"/>
                <w:spacing w:val="0"/>
                <w:w w:val="100"/>
                <w:position w:val="0"/>
                <w:sz w:val="14"/>
                <w:szCs w:val="14"/>
                <w:shd w:val="clear" w:color="auto" w:fill="auto"/>
                <w:lang w:val="ru-RU" w:eastAsia="ru-RU" w:bidi="ru-RU"/>
              </w:rPr>
              <w:t xml:space="preserve">два </w:t>
            </w:r>
            <w:r>
              <w:rPr>
                <w:rFonts w:ascii="Arial" w:eastAsia="Arial" w:hAnsi="Arial" w:cs="Arial"/>
                <w:color w:val="262427"/>
                <w:spacing w:val="0"/>
                <w:w w:val="100"/>
                <w:position w:val="0"/>
                <w:sz w:val="14"/>
                <w:szCs w:val="14"/>
                <w:shd w:val="clear" w:color="auto" w:fill="auto"/>
                <w:lang w:val="ru-RU" w:eastAsia="ru-RU" w:bidi="ru-RU"/>
              </w:rPr>
              <w:t>выходных реле</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262427"/>
                <w:spacing w:val="0"/>
                <w:w w:val="100"/>
                <w:position w:val="0"/>
                <w:sz w:val="14"/>
                <w:szCs w:val="14"/>
                <w:shd w:val="clear" w:color="auto" w:fill="auto"/>
                <w:lang w:val="ru-RU" w:eastAsia="ru-RU" w:bidi="ru-RU"/>
              </w:rPr>
              <w:t>шг</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B0D17"/>
                <w:spacing w:val="0"/>
                <w:w w:val="100"/>
                <w:position w:val="0"/>
                <w:sz w:val="14"/>
                <w:szCs w:val="14"/>
                <w:shd w:val="clear" w:color="auto" w:fill="auto"/>
                <w:lang w:val="ru-RU" w:eastAsia="ru-RU" w:bidi="ru-RU"/>
              </w:rPr>
              <w:t>1</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5 364,76</w:t>
            </w:r>
          </w:p>
        </w:tc>
      </w:tr>
      <w:tr>
        <w:trPr>
          <w:trHeight w:val="22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5 364.76</w:t>
            </w:r>
          </w:p>
        </w:tc>
      </w:tr>
      <w:tr>
        <w:trPr>
          <w:trHeight w:val="283"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Всего по позиции</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32"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42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3</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3.1-3202-1 В-1/1</w:t>
            </w: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322"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 xml:space="preserve">Установка блоков бесперебойного питания </w:t>
            </w:r>
            <w:r>
              <w:rPr>
                <w:rFonts w:ascii="Arial" w:eastAsia="Arial" w:hAnsi="Arial" w:cs="Arial"/>
                <w:color w:val="000000"/>
                <w:spacing w:val="0"/>
                <w:w w:val="100"/>
                <w:position w:val="0"/>
                <w:sz w:val="14"/>
                <w:szCs w:val="14"/>
                <w:shd w:val="clear" w:color="auto" w:fill="auto"/>
                <w:lang w:val="ru-RU" w:eastAsia="ru-RU" w:bidi="ru-RU"/>
              </w:rPr>
              <w:t xml:space="preserve">БЕП </w:t>
            </w:r>
            <w:r>
              <w:rPr>
                <w:rFonts w:ascii="Arial" w:eastAsia="Arial" w:hAnsi="Arial" w:cs="Arial"/>
                <w:color w:val="262427"/>
                <w:spacing w:val="0"/>
                <w:w w:val="100"/>
                <w:position w:val="0"/>
                <w:sz w:val="14"/>
                <w:szCs w:val="14"/>
                <w:shd w:val="clear" w:color="auto" w:fill="auto"/>
                <w:lang w:val="ru-RU" w:eastAsia="ru-RU" w:bidi="ru-RU"/>
              </w:rPr>
              <w:t>(без стоимости основных материалов)</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262427"/>
                <w:spacing w:val="0"/>
                <w:w w:val="100"/>
                <w:position w:val="0"/>
                <w:sz w:val="14"/>
                <w:szCs w:val="14"/>
                <w:shd w:val="clear" w:color="auto" w:fill="auto"/>
                <w:lang w:val="ru-RU" w:eastAsia="ru-RU" w:bidi="ru-RU"/>
              </w:rPr>
              <w:t>1 шт.</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300,12</w:t>
            </w:r>
          </w:p>
        </w:tc>
      </w:tr>
      <w:tr>
        <w:trPr>
          <w:trHeight w:val="22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ЗП</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227,81</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ЭМ</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65,02</w:t>
            </w:r>
          </w:p>
        </w:tc>
      </w:tr>
      <w:tr>
        <w:trPr>
          <w:trHeight w:val="21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 </w:t>
            </w:r>
            <w:r>
              <w:rPr>
                <w:rFonts w:ascii="Arial" w:eastAsia="Arial" w:hAnsi="Arial" w:cs="Arial"/>
                <w:color w:val="262427"/>
                <w:spacing w:val="0"/>
                <w:w w:val="100"/>
                <w:position w:val="0"/>
                <w:sz w:val="14"/>
                <w:szCs w:val="14"/>
                <w:shd w:val="clear" w:color="auto" w:fill="auto"/>
                <w:lang w:val="ru-RU" w:eastAsia="ru-RU" w:bidi="ru-RU"/>
              </w:rPr>
              <w:t>т.ч. ЗПМ</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'(41.05)</w:t>
            </w:r>
          </w:p>
        </w:tc>
      </w:tr>
      <w:tr>
        <w:trPr>
          <w:trHeight w:val="259"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B0D17"/>
                <w:spacing w:val="0"/>
                <w:w w:val="100"/>
                <w:position w:val="0"/>
                <w:sz w:val="14"/>
                <w:szCs w:val="14"/>
                <w:shd w:val="clear" w:color="auto" w:fill="auto"/>
                <w:lang w:val="ru-RU" w:eastAsia="ru-RU" w:bidi="ru-RU"/>
              </w:rPr>
              <w:t>7,29</w:t>
            </w:r>
          </w:p>
        </w:tc>
      </w:tr>
    </w:tbl>
    <w:p>
      <w:pPr>
        <w:widowControl w:val="0"/>
        <w:spacing w:after="199" w:line="1" w:lineRule="exact"/>
      </w:pP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Аналогично представлена информация о товарах «Монитор, подключаемый к компьютеру» и «Источник бесперебойного питания».</w:t>
      </w:r>
    </w:p>
    <w:p>
      <w:pPr>
        <w:pStyle w:val="Style12"/>
        <w:keepNext w:val="0"/>
        <w:keepLines w:val="0"/>
        <w:widowControl w:val="0"/>
        <w:shd w:val="clear" w:color="auto" w:fill="auto"/>
        <w:bidi w:val="0"/>
        <w:spacing w:before="0" w:after="120" w:line="240"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2"/>
        <w:keepNext w:val="0"/>
        <w:keepLines w:val="0"/>
        <w:widowControl w:val="0"/>
        <w:numPr>
          <w:ilvl w:val="0"/>
          <w:numId w:val="1"/>
        </w:numPr>
        <w:shd w:val="clear" w:color="auto" w:fill="auto"/>
        <w:tabs>
          <w:tab w:pos="12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12"/>
        <w:keepNext w:val="0"/>
        <w:keepLines w:val="0"/>
        <w:widowControl w:val="0"/>
        <w:numPr>
          <w:ilvl w:val="0"/>
          <w:numId w:val="1"/>
        </w:numPr>
        <w:shd w:val="clear" w:color="auto" w:fill="auto"/>
        <w:tabs>
          <w:tab w:pos="12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12"/>
        <w:keepNext w:val="0"/>
        <w:keepLines w:val="0"/>
        <w:widowControl w:val="0"/>
        <w:numPr>
          <w:ilvl w:val="0"/>
          <w:numId w:val="1"/>
        </w:numPr>
        <w:shd w:val="clear" w:color="auto" w:fill="auto"/>
        <w:tabs>
          <w:tab w:pos="12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1"/>
        </w:numPr>
        <w:shd w:val="clear" w:color="auto" w:fill="auto"/>
        <w:tabs>
          <w:tab w:pos="12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предложение по критериям, предусмотренным п.2 и (или) 3 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1"/>
        </w:numPr>
        <w:shd w:val="clear" w:color="auto" w:fill="auto"/>
        <w:tabs>
          <w:tab w:pos="120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ч.2 ст.43 Закона о контрактной системе при формировании предложения участника закупки в отношении объекта закупки информация о товаре, предусмотренная пп.«а» и «б» п.2 ч.1 ст.43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пп.«а» п.2 ч.1 ст.43 Закона о контрактной системе,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2"/>
        <w:keepNext w:val="0"/>
        <w:keepLines w:val="0"/>
        <w:widowControl w:val="0"/>
        <w:shd w:val="clear" w:color="auto" w:fill="auto"/>
        <w:bidi w:val="0"/>
        <w:spacing w:before="0" w:after="0" w:line="264" w:lineRule="auto"/>
        <w:ind w:left="0" w:right="0" w:firstLine="700"/>
        <w:jc w:val="both"/>
      </w:pPr>
      <w:r>
        <w:rPr>
          <w:color w:val="000000"/>
          <w:spacing w:val="0"/>
          <w:w w:val="100"/>
          <w:position w:val="0"/>
          <w:shd w:val="clear" w:color="auto" w:fill="auto"/>
          <w:lang w:val="ru-RU" w:eastAsia="ru-RU" w:bidi="ru-RU"/>
        </w:rPr>
        <w:t xml:space="preserve">На основании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w:t>
      </w:r>
      <w:r>
        <w:rPr>
          <w:color w:val="000000"/>
          <w:spacing w:val="0"/>
          <w:w w:val="100"/>
          <w:position w:val="0"/>
          <w:shd w:val="clear" w:color="auto" w:fill="auto"/>
          <w:lang w:val="ru-RU" w:eastAsia="ru-RU" w:bidi="ru-RU"/>
        </w:rPr>
        <w:t>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12"/>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извещению о проведении закупочной процедуры Заказчиком установлены ограничения допуска участников закупки в соответствии с Постановлением № 878 и условия допуска согласно приказу № 126н.</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в п.13 Информационной карты извещения об осуществлении закупки изложены следующие требования к содержанию, составу заявки, в том числе:</w:t>
      </w:r>
    </w:p>
    <w:p>
      <w:pPr>
        <w:pStyle w:val="Style12"/>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«4.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w:t>
      </w:r>
    </w:p>
    <w:p>
      <w:pPr>
        <w:pStyle w:val="Style12"/>
        <w:keepNext w:val="0"/>
        <w:keepLines w:val="0"/>
        <w:widowControl w:val="0"/>
        <w:numPr>
          <w:ilvl w:val="0"/>
          <w:numId w:val="3"/>
        </w:numPr>
        <w:shd w:val="clear" w:color="auto" w:fill="auto"/>
        <w:tabs>
          <w:tab w:pos="1152"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pPr>
        <w:pStyle w:val="Style12"/>
        <w:keepNext w:val="0"/>
        <w:keepLines w:val="0"/>
        <w:widowControl w:val="0"/>
        <w:numPr>
          <w:ilvl w:val="0"/>
          <w:numId w:val="3"/>
        </w:numPr>
        <w:shd w:val="clear" w:color="auto" w:fill="auto"/>
        <w:tabs>
          <w:tab w:pos="1152" w:val="left"/>
        </w:tabs>
        <w:bidi w:val="0"/>
        <w:spacing w:before="0" w:after="0" w:line="240" w:lineRule="auto"/>
        <w:ind w:left="0" w:right="0" w:firstLine="740"/>
        <w:jc w:val="both"/>
      </w:pPr>
      <w:r>
        <w:rPr>
          <w:i/>
          <w:iCs/>
          <w:color w:val="000000"/>
          <w:spacing w:val="0"/>
          <w:w w:val="100"/>
          <w:position w:val="0"/>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w:t>
      </w:r>
      <w:r>
        <w:rPr>
          <w:i/>
          <w:iCs/>
          <w:color w:val="000000"/>
          <w:spacing w:val="0"/>
          <w:w w:val="100"/>
          <w:position w:val="0"/>
          <w:shd w:val="clear" w:color="auto" w:fill="auto"/>
          <w:lang w:val="ru-RU" w:eastAsia="ru-RU" w:bidi="ru-RU"/>
        </w:rPr>
        <w:t>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3"/>
        </w:numPr>
        <w:shd w:val="clear" w:color="auto" w:fill="auto"/>
        <w:tabs>
          <w:tab w:pos="1872"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Товарный знак (при наличии)</w:t>
      </w:r>
    </w:p>
    <w:p>
      <w:pPr>
        <w:pStyle w:val="Style12"/>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вышеуказанными доводами жалобы.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представитель Заказчика конкретизировал, что закупаемая система — это результат выполняемых работ, при этом перечисленное оборудование в составе извещения об осуществление закупки является используемым оборудованием для создания системы контроля и управления доступом.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объекту по данной закупке применена типовая документация, что, по мнению представителя Заказчика, повлияло на формирование извещения об осуществлении закупки подобным образом.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Комиссия Управления считает необходимым отметить, что в целях исключения какого-либо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 исчерпывающие требования к участникам, подающим заявки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Наличие же любых равновесных противоречий, возникающих при работе с извещением об осуществлении закупки, является следствием действий Заказчика, а следовательно, возникшие противоречия должны трактоваться в пользу более слабой стороны правоотношений (участника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нарушении Заказчика п.1 ч.1 ст.33, п.1, п.3 ч.2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2"/>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 этим в составе жалобы Заявитель обжалует действия Заказчика, выразившиеся в утверждении извещения об осуществлении закупки в отсутствии работ по монтажу оборудования.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установлено ранее Комиссией Управления, объектом закупки является поставка и </w:t>
      </w:r>
      <w:r>
        <w:rPr>
          <w:b/>
          <w:bCs/>
          <w:i/>
          <w:iCs/>
          <w:color w:val="000000"/>
          <w:spacing w:val="0"/>
          <w:w w:val="100"/>
          <w:position w:val="0"/>
          <w:shd w:val="clear" w:color="auto" w:fill="auto"/>
          <w:lang w:val="ru-RU" w:eastAsia="ru-RU" w:bidi="ru-RU"/>
        </w:rPr>
        <w:t>монтаж оборудования системы контроля</w:t>
      </w:r>
      <w:r>
        <w:rPr>
          <w:color w:val="000000"/>
          <w:spacing w:val="0"/>
          <w:w w:val="100"/>
          <w:position w:val="0"/>
          <w:shd w:val="clear" w:color="auto" w:fill="auto"/>
          <w:lang w:val="ru-RU" w:eastAsia="ru-RU" w:bidi="ru-RU"/>
        </w:rPr>
        <w:t xml:space="preserve"> и управления доступом (СКУД), лицензий программного обеспечения (ПО).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этом Комиссией Управления установлено, Например, что пп. «Б» п.2 Техническим заданием предусмотрен стандарт монтажных работ: </w:t>
      </w:r>
      <w:r>
        <w:rPr>
          <w:i/>
          <w:iCs/>
          <w:color w:val="000000"/>
          <w:spacing w:val="0"/>
          <w:w w:val="100"/>
          <w:position w:val="0"/>
          <w:shd w:val="clear" w:color="auto" w:fill="auto"/>
          <w:lang w:val="ru-RU" w:eastAsia="ru-RU" w:bidi="ru-RU"/>
        </w:rPr>
        <w:t>«Исполнитель не позднее следующего рабочего дня после заключения контракта, обязан представить надлежащим образом заверенные копии, а при первом требовании Заказчика и оригиналы удостоверения установленной формы на привлекаемых сотрудников по профессии «Монтажник слаботочных систем охраны и безопасности»</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Аналогично содержится информация о работах по монтажу оборудованию в электронном документе «Расчет НМЦК(Д)».</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представитель Заказчика отметил, что довод Заявителя не состоятелен, поскольку извещением об осуществлении аукциона предусмотрены работы по монтажу оборудования, что также подтверждается сметной документацией и Техническим заданием.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Иного на заседание Комиссии, в составе жалобы Заявителем представлено не было.</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данных Комиссия Управления приходит к выводу, что вышеуказанный довод жалобы не нашел своего подтверждения и является необоснованным.</w:t>
      </w:r>
    </w:p>
    <w:p>
      <w:pPr>
        <w:pStyle w:val="Style12"/>
        <w:keepNext w:val="0"/>
        <w:keepLines w:val="0"/>
        <w:widowControl w:val="0"/>
        <w:numPr>
          <w:ilvl w:val="0"/>
          <w:numId w:val="3"/>
        </w:numPr>
        <w:shd w:val="clear" w:color="auto" w:fill="auto"/>
        <w:tabs>
          <w:tab w:pos="11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в составе извещения Заказчиком установлены неправомерные и противоречивые условия относительно предоставления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Заявитель отмечает, что, исходя из наименования объекта закупки, исполнитель должен предоставить Заказчику также программное обеспечение.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согласно сметной документации, также предусмотрена установка данного программного обеспечения, то есть программное обеспечение не является предустановленным.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Заявитель делает вывод, что Заказчику следовало установить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№1236).</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п.2 Постановления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w:t>
      </w:r>
      <w:r>
        <w:rPr>
          <w:color w:val="000000"/>
          <w:spacing w:val="0"/>
          <w:w w:val="100"/>
          <w:position w:val="0"/>
          <w:shd w:val="clear" w:color="auto" w:fill="auto"/>
          <w:lang w:val="ru-RU" w:eastAsia="ru-RU" w:bidi="ru-RU"/>
        </w:rPr>
        <w:t>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П.2(1) Постановления №1236 установлено, что для целей применения п.2 Постановления №1236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2"/>
        <w:keepNext w:val="0"/>
        <w:keepLines w:val="0"/>
        <w:widowControl w:val="0"/>
        <w:numPr>
          <w:ilvl w:val="0"/>
          <w:numId w:val="5"/>
        </w:numPr>
        <w:shd w:val="clear" w:color="auto" w:fill="auto"/>
        <w:tabs>
          <w:tab w:pos="10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numPr>
          <w:ilvl w:val="0"/>
          <w:numId w:val="5"/>
        </w:numPr>
        <w:shd w:val="clear" w:color="auto" w:fill="auto"/>
        <w:tabs>
          <w:tab w:pos="104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numPr>
          <w:ilvl w:val="0"/>
          <w:numId w:val="5"/>
        </w:numPr>
        <w:shd w:val="clear" w:color="auto" w:fill="auto"/>
        <w:tabs>
          <w:tab w:pos="103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numPr>
          <w:ilvl w:val="0"/>
          <w:numId w:val="5"/>
        </w:numPr>
        <w:shd w:val="clear" w:color="auto" w:fill="auto"/>
        <w:tabs>
          <w:tab w:pos="102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Исходя из вышеизложенных положений Постановления №1236 следует, что под программным обеспечиванием, в рамках Постановления №1236, 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поставка техники (оборудования) с предустановленным производителем программным обеспечением не является объектом регулирования Постановления №1236.</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Комиссией Управления установлено, что согласно извещению о проведении электронного аукциона запрет, предусмотренный положениями Постановления №1236, Заказчиком не установлен.</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объектов закупки является система контроля и управления доступом, а не программное обеспечение.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этом представитель Заказчика пояснил, что для надлежащего функционирования системы необходим сервер. Так как сметной документацией не </w:t>
      </w:r>
      <w:r>
        <w:rPr>
          <w:color w:val="000000"/>
          <w:spacing w:val="0"/>
          <w:w w:val="100"/>
          <w:position w:val="0"/>
          <w:shd w:val="clear" w:color="auto" w:fill="auto"/>
          <w:lang w:val="ru-RU" w:eastAsia="ru-RU" w:bidi="ru-RU"/>
        </w:rPr>
        <w:t>предусмотрены позиции по поставке сервера, то позиции сметы с 15 по 25 сформированы применительно к выполнению работ по созданию данного сервера, то есть закупается не отдельный набор продукции а сервер в сборе. Данные серверы идут от производителя с уже предустановленным программным обеспечением.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отмечает, что требования к программному обеспечению не описаны как самостоятельный объект закупки, так как объектом закупки является система в целом.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Комиссией Управления не может согласиться с позицией Заказчика, поскольку объектов закупки является поставка и монтаж оборудования системы контроля и управления доступом (СКУД), </w:t>
      </w:r>
      <w:r>
        <w:rPr>
          <w:b/>
          <w:bCs/>
          <w:i/>
          <w:iCs/>
          <w:color w:val="000000"/>
          <w:spacing w:val="0"/>
          <w:w w:val="100"/>
          <w:position w:val="0"/>
          <w:shd w:val="clear" w:color="auto" w:fill="auto"/>
          <w:lang w:val="ru-RU" w:eastAsia="ru-RU" w:bidi="ru-RU"/>
        </w:rPr>
        <w:t>лицензий программного обеспечения (ПО)</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220" w:line="240" w:lineRule="auto"/>
        <w:ind w:left="0" w:right="0" w:firstLine="700"/>
        <w:jc w:val="both"/>
      </w:pPr>
      <w:r>
        <w:rPr>
          <w:color w:val="000000"/>
          <w:spacing w:val="0"/>
          <w:w w:val="100"/>
          <w:position w:val="0"/>
          <w:shd w:val="clear" w:color="auto" w:fill="auto"/>
          <w:lang w:val="ru-RU" w:eastAsia="ru-RU" w:bidi="ru-RU"/>
        </w:rPr>
        <w:t>При этом, вопреки пояснениям Заказчика, электронным документом «Расчет НМЦК(Д)» предусмотрена, в частности, следующая информация о программном обеспечении:</w:t>
      </w:r>
    </w:p>
    <w:tbl>
      <w:tblPr>
        <w:tblOverlap w:val="never"/>
        <w:jc w:val="center"/>
        <w:tblLayout w:type="fixed"/>
      </w:tblPr>
      <w:tblGrid>
        <w:gridCol w:w="907"/>
        <w:gridCol w:w="2414"/>
        <w:gridCol w:w="3850"/>
        <w:gridCol w:w="835"/>
        <w:gridCol w:w="773"/>
        <w:gridCol w:w="1018"/>
      </w:tblGrid>
      <w:tr>
        <w:trPr>
          <w:trHeight w:val="835"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340"/>
              <w:jc w:val="left"/>
              <w:rPr>
                <w:sz w:val="15"/>
                <w:szCs w:val="15"/>
              </w:rPr>
            </w:pPr>
            <w:r>
              <w:rPr>
                <w:rFonts w:ascii="Arial" w:eastAsia="Arial" w:hAnsi="Arial" w:cs="Arial"/>
                <w:i/>
                <w:iCs/>
                <w:color w:val="262427"/>
                <w:spacing w:val="0"/>
                <w:w w:val="100"/>
                <w:position w:val="0"/>
                <w:sz w:val="15"/>
                <w:szCs w:val="15"/>
                <w:shd w:val="clear" w:color="auto" w:fill="auto"/>
                <w:lang w:val="ru-RU" w:eastAsia="ru-RU" w:bidi="ru-RU"/>
              </w:rPr>
              <w:t>20</w:t>
            </w:r>
          </w:p>
        </w:tc>
        <w:tc>
          <w:tcPr>
            <w:tcBorders/>
            <w:shd w:val="clear" w:color="auto" w:fill="auto"/>
            <w:vAlign w:val="top"/>
          </w:tcPr>
          <w:p>
            <w:pPr>
              <w:pStyle w:val="Style23"/>
              <w:keepNext w:val="0"/>
              <w:keepLines w:val="0"/>
              <w:widowControl w:val="0"/>
              <w:shd w:val="clear" w:color="auto" w:fill="auto"/>
              <w:bidi w:val="0"/>
              <w:spacing w:before="0" w:after="0" w:line="314" w:lineRule="auto"/>
              <w:ind w:left="0" w:right="0" w:firstLine="0"/>
              <w:jc w:val="left"/>
              <w:rPr>
                <w:sz w:val="14"/>
                <w:szCs w:val="14"/>
              </w:rPr>
            </w:pPr>
            <w:r>
              <w:rPr>
                <w:rFonts w:ascii="Arial" w:eastAsia="Arial" w:hAnsi="Arial" w:cs="Arial"/>
                <w:color w:val="525152"/>
                <w:spacing w:val="0"/>
                <w:w w:val="100"/>
                <w:position w:val="0"/>
                <w:sz w:val="14"/>
                <w:szCs w:val="14"/>
                <w:shd w:val="clear" w:color="auto" w:fill="auto"/>
                <w:lang w:val="ru-RU" w:eastAsia="ru-RU" w:bidi="ru-RU"/>
              </w:rPr>
              <w:t>ТЦ_61</w:t>
            </w:r>
            <w:r>
              <w:rPr>
                <w:rFonts w:ascii="Arial" w:eastAsia="Arial" w:hAnsi="Arial" w:cs="Arial"/>
                <w:color w:val="323135"/>
                <w:spacing w:val="0"/>
                <w:w w:val="100"/>
                <w:position w:val="0"/>
                <w:sz w:val="14"/>
                <w:szCs w:val="14"/>
                <w:shd w:val="clear" w:color="auto" w:fill="auto"/>
                <w:lang w:val="ru-RU" w:eastAsia="ru-RU" w:bidi="ru-RU"/>
              </w:rPr>
              <w:t xml:space="preserve">.3.05.03_1_0105070781_19 </w:t>
            </w:r>
            <w:r>
              <w:rPr>
                <w:rFonts w:ascii="Arial" w:eastAsia="Arial" w:hAnsi="Arial" w:cs="Arial"/>
                <w:color w:val="262427"/>
                <w:spacing w:val="0"/>
                <w:w w:val="100"/>
                <w:position w:val="0"/>
                <w:sz w:val="14"/>
                <w:szCs w:val="14"/>
                <w:shd w:val="clear" w:color="auto" w:fill="auto"/>
                <w:lang w:val="ru-RU" w:eastAsia="ru-RU" w:bidi="ru-RU"/>
              </w:rPr>
              <w:t>_09_2П23_02</w:t>
            </w:r>
          </w:p>
        </w:tc>
        <w:tc>
          <w:tcPr>
            <w:tcBorders/>
            <w:shd w:val="clear" w:color="auto" w:fill="auto"/>
            <w:vAlign w:val="bottom"/>
          </w:tcPr>
          <w:p>
            <w:pPr>
              <w:pStyle w:val="Style23"/>
              <w:keepNext w:val="0"/>
              <w:keepLines w:val="0"/>
              <w:widowControl w:val="0"/>
              <w:shd w:val="clear" w:color="auto" w:fill="auto"/>
              <w:bidi w:val="0"/>
              <w:spacing w:before="0" w:after="0" w:line="312"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 xml:space="preserve">Программное обеспечение. Оперативная задача Орион Про исп.127 Программное обеспечение (одно ядро </w:t>
            </w:r>
            <w:r>
              <w:rPr>
                <w:rFonts w:ascii="Arial" w:eastAsia="Arial" w:hAnsi="Arial" w:cs="Arial"/>
                <w:color w:val="525152"/>
                <w:spacing w:val="0"/>
                <w:w w:val="100"/>
                <w:position w:val="0"/>
                <w:sz w:val="14"/>
                <w:szCs w:val="14"/>
                <w:shd w:val="clear" w:color="auto" w:fill="auto"/>
                <w:lang w:val="ru-RU" w:eastAsia="ru-RU" w:bidi="ru-RU"/>
              </w:rPr>
              <w:t xml:space="preserve">и </w:t>
            </w:r>
            <w:r>
              <w:rPr>
                <w:rFonts w:ascii="Arial" w:eastAsia="Arial" w:hAnsi="Arial" w:cs="Arial"/>
                <w:color w:val="323135"/>
                <w:spacing w:val="0"/>
                <w:w w:val="100"/>
                <w:position w:val="0"/>
                <w:sz w:val="14"/>
                <w:szCs w:val="14"/>
                <w:shd w:val="clear" w:color="auto" w:fill="auto"/>
                <w:lang w:val="ru-RU" w:eastAsia="ru-RU" w:bidi="ru-RU"/>
              </w:rPr>
              <w:t xml:space="preserve">один </w:t>
            </w:r>
            <w:r>
              <w:rPr>
                <w:rFonts w:ascii="Arial" w:eastAsia="Arial" w:hAnsi="Arial" w:cs="Arial"/>
                <w:color w:val="525152"/>
                <w:spacing w:val="0"/>
                <w:w w:val="100"/>
                <w:position w:val="0"/>
                <w:sz w:val="14"/>
                <w:szCs w:val="14"/>
                <w:shd w:val="clear" w:color="auto" w:fill="auto"/>
                <w:lang w:val="ru-RU" w:eastAsia="ru-RU" w:bidi="ru-RU"/>
              </w:rPr>
              <w:t xml:space="preserve">монитор) и </w:t>
            </w:r>
            <w:r>
              <w:rPr>
                <w:rFonts w:ascii="Arial" w:eastAsia="Arial" w:hAnsi="Arial" w:cs="Arial"/>
                <w:color w:val="323135"/>
                <w:spacing w:val="0"/>
                <w:w w:val="100"/>
                <w:position w:val="0"/>
                <w:sz w:val="14"/>
                <w:szCs w:val="14"/>
                <w:shd w:val="clear" w:color="auto" w:fill="auto"/>
                <w:lang w:val="ru-RU" w:eastAsia="ru-RU" w:bidi="ru-RU"/>
              </w:rPr>
              <w:t xml:space="preserve">ключ защиты, до 127 устройств (поставляется с ключом </w:t>
            </w:r>
            <w:r>
              <w:rPr>
                <w:rFonts w:ascii="Arial" w:eastAsia="Arial" w:hAnsi="Arial" w:cs="Arial"/>
                <w:color w:val="525152"/>
                <w:spacing w:val="0"/>
                <w:w w:val="100"/>
                <w:position w:val="0"/>
                <w:sz w:val="14"/>
                <w:szCs w:val="14"/>
                <w:shd w:val="clear" w:color="auto" w:fill="auto"/>
                <w:lang w:val="ru-RU" w:eastAsia="ru-RU" w:bidi="ru-RU"/>
              </w:rPr>
              <w:t>защиты).</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262427"/>
                <w:spacing w:val="0"/>
                <w:w w:val="100"/>
                <w:position w:val="0"/>
                <w:sz w:val="14"/>
                <w:szCs w:val="14"/>
                <w:shd w:val="clear" w:color="auto" w:fill="auto"/>
                <w:lang w:val="ru-RU" w:eastAsia="ru-RU" w:bidi="ru-RU"/>
              </w:rPr>
              <w:t>шг</w:t>
            </w:r>
          </w:p>
        </w:tc>
        <w:tc>
          <w:tcPr>
            <w:tcBorders>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64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32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72 485,51</w:t>
            </w:r>
          </w:p>
        </w:tc>
      </w:tr>
      <w:tr>
        <w:trPr>
          <w:trHeight w:val="21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32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72 485,51</w:t>
            </w:r>
          </w:p>
        </w:tc>
      </w:tr>
      <w:tr>
        <w:trPr>
          <w:trHeight w:val="274"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Всего по </w:t>
            </w:r>
            <w:r>
              <w:rPr>
                <w:rFonts w:ascii="Arial" w:eastAsia="Arial" w:hAnsi="Arial" w:cs="Arial"/>
                <w:color w:val="323135"/>
                <w:spacing w:val="0"/>
                <w:w w:val="100"/>
                <w:position w:val="0"/>
                <w:sz w:val="14"/>
                <w:szCs w:val="14"/>
                <w:shd w:val="clear" w:color="auto" w:fill="auto"/>
                <w:lang w:val="ru-RU" w:eastAsia="ru-RU" w:bidi="ru-RU"/>
              </w:rPr>
              <w:t>позиции</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840"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21</w:t>
            </w:r>
          </w:p>
        </w:tc>
        <w:tc>
          <w:tcPr>
            <w:tcBorders>
              <w:top w:val="single" w:sz="4"/>
            </w:tcBorders>
            <w:shd w:val="clear" w:color="auto" w:fill="auto"/>
            <w:vAlign w:val="top"/>
          </w:tcPr>
          <w:p>
            <w:pPr>
              <w:pStyle w:val="Style23"/>
              <w:keepNext w:val="0"/>
              <w:keepLines w:val="0"/>
              <w:widowControl w:val="0"/>
              <w:shd w:val="clear" w:color="auto" w:fill="auto"/>
              <w:bidi w:val="0"/>
              <w:spacing w:before="0" w:after="40" w:line="240" w:lineRule="auto"/>
              <w:ind w:left="0" w:right="0" w:firstLine="0"/>
              <w:jc w:val="left"/>
              <w:rPr>
                <w:sz w:val="14"/>
                <w:szCs w:val="14"/>
              </w:rPr>
            </w:pPr>
            <w:r>
              <w:rPr>
                <w:rFonts w:ascii="Arial" w:eastAsia="Arial" w:hAnsi="Arial" w:cs="Arial"/>
                <w:color w:val="525152"/>
                <w:spacing w:val="0"/>
                <w:w w:val="100"/>
                <w:position w:val="0"/>
                <w:sz w:val="14"/>
                <w:szCs w:val="14"/>
                <w:shd w:val="clear" w:color="auto" w:fill="auto"/>
                <w:lang w:val="ru-RU" w:eastAsia="ru-RU" w:bidi="ru-RU"/>
              </w:rPr>
              <w:t>ТЦ_61.3.05.03_1_0105070781_19</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_09_2023_02</w:t>
            </w: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312"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 xml:space="preserve">ПО Центральный Сервер Орион Про Программное обеспечение, для передачи информации из базы данных рабочим местам системы (поставляется с </w:t>
            </w:r>
            <w:r>
              <w:rPr>
                <w:rFonts w:ascii="Arial" w:eastAsia="Arial" w:hAnsi="Arial" w:cs="Arial"/>
                <w:color w:val="525152"/>
                <w:spacing w:val="0"/>
                <w:w w:val="100"/>
                <w:position w:val="0"/>
                <w:sz w:val="14"/>
                <w:szCs w:val="14"/>
                <w:shd w:val="clear" w:color="auto" w:fill="auto"/>
                <w:lang w:val="ru-RU" w:eastAsia="ru-RU" w:bidi="ru-RU"/>
              </w:rPr>
              <w:t>ключом защиты).</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9"/>
                <w:szCs w:val="19"/>
              </w:rPr>
            </w:pPr>
            <w:r>
              <w:rPr>
                <w:color w:val="262427"/>
                <w:spacing w:val="0"/>
                <w:w w:val="100"/>
                <w:position w:val="0"/>
                <w:sz w:val="19"/>
                <w:szCs w:val="19"/>
                <w:shd w:val="clear" w:color="auto" w:fill="auto"/>
                <w:lang w:val="ru-RU" w:eastAsia="ru-RU" w:bidi="ru-RU"/>
              </w:rPr>
              <w:t>шг</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64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15 625,И</w:t>
            </w:r>
          </w:p>
        </w:tc>
      </w:tr>
      <w:tr>
        <w:trPr>
          <w:trHeight w:val="21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32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15 625, К</w:t>
            </w:r>
          </w:p>
        </w:tc>
      </w:tr>
      <w:tr>
        <w:trPr>
          <w:trHeight w:val="27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Всего по </w:t>
            </w:r>
            <w:r>
              <w:rPr>
                <w:rFonts w:ascii="Arial" w:eastAsia="Arial" w:hAnsi="Arial" w:cs="Arial"/>
                <w:color w:val="323135"/>
                <w:spacing w:val="0"/>
                <w:w w:val="100"/>
                <w:position w:val="0"/>
                <w:sz w:val="14"/>
                <w:szCs w:val="14"/>
                <w:shd w:val="clear" w:color="auto" w:fill="auto"/>
                <w:lang w:val="ru-RU" w:eastAsia="ru-RU" w:bidi="ru-RU"/>
              </w:rPr>
              <w:t>позиции</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840" w:hRule="exact"/>
        </w:trPr>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pStyle w:val="Style23"/>
              <w:keepNext w:val="0"/>
              <w:keepLines w:val="0"/>
              <w:widowControl w:val="0"/>
              <w:shd w:val="clear" w:color="auto" w:fill="auto"/>
              <w:bidi w:val="0"/>
              <w:spacing w:before="0" w:after="4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ТЦ_61,3.05.03_1_0105070781_19</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_09_2023_02</w:t>
            </w: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312"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АБД Орион Про Программное обеспечение. Администратор базы данных Орион Про. Заполнение информацией базы данных системы Орион Про</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9"/>
                <w:szCs w:val="19"/>
              </w:rPr>
            </w:pPr>
            <w:r>
              <w:rPr>
                <w:color w:val="262427"/>
                <w:spacing w:val="0"/>
                <w:w w:val="100"/>
                <w:position w:val="0"/>
                <w:sz w:val="19"/>
                <w:szCs w:val="19"/>
                <w:shd w:val="clear" w:color="auto" w:fill="auto"/>
                <w:lang w:val="ru-RU" w:eastAsia="ru-RU" w:bidi="ru-RU"/>
              </w:rPr>
              <w:t>шг</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64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6 027,07</w:t>
            </w:r>
          </w:p>
        </w:tc>
      </w:tr>
      <w:tr>
        <w:trPr>
          <w:trHeight w:val="211"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6 027,07</w:t>
            </w:r>
          </w:p>
        </w:tc>
      </w:tr>
      <w:tr>
        <w:trPr>
          <w:trHeight w:val="27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Всего по </w:t>
            </w:r>
            <w:r>
              <w:rPr>
                <w:rFonts w:ascii="Arial" w:eastAsia="Arial" w:hAnsi="Arial" w:cs="Arial"/>
                <w:color w:val="323135"/>
                <w:spacing w:val="0"/>
                <w:w w:val="100"/>
                <w:position w:val="0"/>
                <w:sz w:val="14"/>
                <w:szCs w:val="14"/>
                <w:shd w:val="clear" w:color="auto" w:fill="auto"/>
                <w:lang w:val="ru-RU" w:eastAsia="ru-RU" w:bidi="ru-RU"/>
              </w:rPr>
              <w:t>позиции</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634"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23</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307"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ТЦ_61 3.05.03_1_0105070781_19 _09_2023_02</w:t>
            </w:r>
          </w:p>
        </w:tc>
        <w:tc>
          <w:tcPr>
            <w:tcBorders>
              <w:top w:val="single" w:sz="4"/>
            </w:tcBorders>
            <w:shd w:val="clear" w:color="auto" w:fill="auto"/>
            <w:vAlign w:val="bottom"/>
          </w:tcPr>
          <w:p>
            <w:pPr>
              <w:pStyle w:val="Style23"/>
              <w:keepNext w:val="0"/>
              <w:keepLines w:val="0"/>
              <w:widowControl w:val="0"/>
              <w:shd w:val="clear" w:color="auto" w:fill="auto"/>
              <w:bidi w:val="0"/>
              <w:spacing w:before="0" w:after="0" w:line="312"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УРВ Орион Про Программное обеспечение. Учет рабочего времени. Отчеты по рабочему времени сотрудников, конвертация данных в 1С.</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9"/>
                <w:szCs w:val="19"/>
              </w:rPr>
            </w:pPr>
            <w:r>
              <w:rPr>
                <w:color w:val="262427"/>
                <w:spacing w:val="0"/>
                <w:w w:val="100"/>
                <w:position w:val="0"/>
                <w:sz w:val="19"/>
                <w:szCs w:val="19"/>
                <w:shd w:val="clear" w:color="auto" w:fill="auto"/>
                <w:lang w:val="ru-RU" w:eastAsia="ru-RU" w:bidi="ru-RU"/>
              </w:rPr>
              <w:t>шг</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64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6 027,07</w:t>
            </w:r>
          </w:p>
        </w:tc>
      </w:tr>
      <w:tr>
        <w:trPr>
          <w:trHeight w:val="20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6 027,07</w:t>
            </w:r>
          </w:p>
        </w:tc>
      </w:tr>
      <w:tr>
        <w:trPr>
          <w:trHeight w:val="278"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000000"/>
                <w:spacing w:val="0"/>
                <w:w w:val="100"/>
                <w:position w:val="0"/>
                <w:sz w:val="14"/>
                <w:szCs w:val="14"/>
                <w:shd w:val="clear" w:color="auto" w:fill="auto"/>
                <w:lang w:val="ru-RU" w:eastAsia="ru-RU" w:bidi="ru-RU"/>
              </w:rPr>
              <w:t xml:space="preserve">Всего по </w:t>
            </w:r>
            <w:r>
              <w:rPr>
                <w:rFonts w:ascii="Arial" w:eastAsia="Arial" w:hAnsi="Arial" w:cs="Arial"/>
                <w:color w:val="323135"/>
                <w:spacing w:val="0"/>
                <w:w w:val="100"/>
                <w:position w:val="0"/>
                <w:sz w:val="14"/>
                <w:szCs w:val="14"/>
                <w:shd w:val="clear" w:color="auto" w:fill="auto"/>
                <w:lang w:val="ru-RU" w:eastAsia="ru-RU" w:bidi="ru-RU"/>
              </w:rPr>
              <w:t>позиции</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634" w:hRule="exact"/>
        </w:trPr>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34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24</w:t>
            </w:r>
          </w:p>
        </w:tc>
        <w:tc>
          <w:tcPr>
            <w:tcBorders>
              <w:top w:val="single" w:sz="4"/>
            </w:tcBorders>
            <w:shd w:val="clear" w:color="auto" w:fill="auto"/>
            <w:vAlign w:val="top"/>
          </w:tcPr>
          <w:p>
            <w:pPr>
              <w:pStyle w:val="Style23"/>
              <w:keepNext w:val="0"/>
              <w:keepLines w:val="0"/>
              <w:widowControl w:val="0"/>
              <w:shd w:val="clear" w:color="auto" w:fill="auto"/>
              <w:bidi w:val="0"/>
              <w:spacing w:before="0" w:after="40" w:line="240" w:lineRule="auto"/>
              <w:ind w:left="0" w:right="0" w:firstLine="0"/>
              <w:jc w:val="left"/>
              <w:rPr>
                <w:sz w:val="14"/>
                <w:szCs w:val="14"/>
              </w:rPr>
            </w:pPr>
            <w:r>
              <w:rPr>
                <w:rFonts w:ascii="Arial" w:eastAsia="Arial" w:hAnsi="Arial" w:cs="Arial"/>
                <w:color w:val="525152"/>
                <w:spacing w:val="0"/>
                <w:w w:val="100"/>
                <w:position w:val="0"/>
                <w:sz w:val="14"/>
                <w:szCs w:val="14"/>
                <w:shd w:val="clear" w:color="auto" w:fill="auto"/>
                <w:lang w:val="ru-RU" w:eastAsia="ru-RU" w:bidi="ru-RU"/>
              </w:rPr>
              <w:t>ТЦ_61.3.05.03_1_0105070781_19</w:t>
            </w:r>
          </w:p>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262427"/>
                <w:spacing w:val="0"/>
                <w:w w:val="100"/>
                <w:position w:val="0"/>
                <w:sz w:val="14"/>
                <w:szCs w:val="14"/>
                <w:shd w:val="clear" w:color="auto" w:fill="auto"/>
                <w:lang w:val="ru-RU" w:eastAsia="ru-RU" w:bidi="ru-RU"/>
              </w:rPr>
              <w:t>_09_2023_02</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312"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Программное обеспечение. Генератор отчетов Орион Про. Отчеты по событиям и конфигурации объекта</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center"/>
              <w:rPr>
                <w:sz w:val="19"/>
                <w:szCs w:val="19"/>
              </w:rPr>
            </w:pPr>
            <w:r>
              <w:rPr>
                <w:color w:val="262427"/>
                <w:spacing w:val="0"/>
                <w:w w:val="100"/>
                <w:position w:val="0"/>
                <w:sz w:val="19"/>
                <w:szCs w:val="19"/>
                <w:shd w:val="clear" w:color="auto" w:fill="auto"/>
                <w:lang w:val="ru-RU" w:eastAsia="ru-RU" w:bidi="ru-RU"/>
              </w:rPr>
              <w:t>шг</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640"/>
              <w:jc w:val="both"/>
              <w:rPr>
                <w:sz w:val="14"/>
                <w:szCs w:val="14"/>
              </w:rPr>
            </w:pPr>
            <w:r>
              <w:rPr>
                <w:rFonts w:ascii="Arial" w:eastAsia="Arial" w:hAnsi="Arial" w:cs="Arial"/>
                <w:color w:val="262427"/>
                <w:spacing w:val="0"/>
                <w:w w:val="100"/>
                <w:position w:val="0"/>
                <w:sz w:val="14"/>
                <w:szCs w:val="14"/>
                <w:shd w:val="clear" w:color="auto" w:fill="auto"/>
                <w:lang w:val="ru-RU" w:eastAsia="ru-RU" w:bidi="ru-RU"/>
              </w:rPr>
              <w:t>1</w:t>
            </w:r>
          </w:p>
        </w:tc>
        <w:tc>
          <w:tcPr>
            <w:tcBorders>
              <w:top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262427"/>
                <w:spacing w:val="0"/>
                <w:w w:val="100"/>
                <w:position w:val="0"/>
                <w:sz w:val="14"/>
                <w:szCs w:val="14"/>
                <w:shd w:val="clear" w:color="auto" w:fill="auto"/>
                <w:lang w:val="ru-RU" w:eastAsia="ru-RU" w:bidi="ru-RU"/>
              </w:rPr>
              <w:t>3 013,95</w:t>
            </w:r>
          </w:p>
        </w:tc>
      </w:tr>
      <w:tr>
        <w:trPr>
          <w:trHeight w:val="226"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323135"/>
                <w:spacing w:val="0"/>
                <w:w w:val="100"/>
                <w:position w:val="0"/>
                <w:sz w:val="14"/>
                <w:szCs w:val="14"/>
                <w:shd w:val="clear" w:color="auto" w:fill="auto"/>
                <w:lang w:val="ru-RU" w:eastAsia="ru-RU" w:bidi="ru-RU"/>
              </w:rPr>
              <w:t>МР</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rPr>
                <w:sz w:val="14"/>
                <w:szCs w:val="14"/>
              </w:rPr>
            </w:pPr>
            <w:r>
              <w:rPr>
                <w:rFonts w:ascii="Arial" w:eastAsia="Arial" w:hAnsi="Arial" w:cs="Arial"/>
                <w:color w:val="323135"/>
                <w:spacing w:val="0"/>
                <w:w w:val="100"/>
                <w:position w:val="0"/>
                <w:sz w:val="14"/>
                <w:szCs w:val="14"/>
                <w:shd w:val="clear" w:color="auto" w:fill="auto"/>
                <w:lang w:val="ru-RU" w:eastAsia="ru-RU" w:bidi="ru-RU"/>
              </w:rPr>
              <w:t>3 013,95</w:t>
            </w:r>
          </w:p>
        </w:tc>
      </w:tr>
    </w:tbl>
    <w:p>
      <w:pPr>
        <w:pStyle w:val="Style21"/>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ru-RU" w:eastAsia="ru-RU" w:bidi="ru-RU"/>
        </w:rPr>
        <w:t xml:space="preserve">Всего по </w:t>
      </w:r>
      <w:r>
        <w:rPr>
          <w:color w:val="323135"/>
          <w:spacing w:val="0"/>
          <w:w w:val="100"/>
          <w:position w:val="0"/>
          <w:sz w:val="14"/>
          <w:szCs w:val="14"/>
          <w:shd w:val="clear" w:color="auto" w:fill="auto"/>
          <w:lang w:val="ru-RU" w:eastAsia="ru-RU" w:bidi="ru-RU"/>
        </w:rPr>
        <w:t>позиции</w:t>
      </w:r>
    </w:p>
    <w:p>
      <w:pPr>
        <w:widowControl w:val="0"/>
        <w:spacing w:after="219" w:line="1" w:lineRule="exact"/>
      </w:pP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Резюмируя вышеизложенное, исходя из пояснений Заказчика, а также представленных сведений, Комиссия Управления приходит к выводу, что невозможно однозначным образом прийти к выводу, что в данном случае программное обеспечение является предустановленным.</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чего Комиссия Управления приходит к выводу о нарушении Заказчика п.1 ч.1 ст.33, п.1, ч.3 ст.14, п.15 ч.1 ст.42 Закона о контрактной системе, что также свидетельствует о наличии в действиях Заказчика признаков состава</w:t>
        <w:br w:type="page"/>
      </w:r>
      <w:r>
        <w:rPr>
          <w:color w:val="000000"/>
          <w:spacing w:val="0"/>
          <w:w w:val="100"/>
          <w:position w:val="0"/>
          <w:shd w:val="clear" w:color="auto" w:fill="auto"/>
          <w:lang w:val="ru-RU" w:eastAsia="ru-RU" w:bidi="ru-RU"/>
        </w:rPr>
        <w:t>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2"/>
        <w:keepNext w:val="0"/>
        <w:keepLines w:val="0"/>
        <w:widowControl w:val="0"/>
        <w:numPr>
          <w:ilvl w:val="0"/>
          <w:numId w:val="7"/>
        </w:numPr>
        <w:shd w:val="clear" w:color="auto" w:fill="auto"/>
        <w:tabs>
          <w:tab w:pos="106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«Ремстрой» на действия ГБУЗ «ДС № 68 ДЗМ» обоснованной в части неправомерного формирования извещения о проведении закупки.</w:t>
      </w:r>
    </w:p>
    <w:p>
      <w:pPr>
        <w:pStyle w:val="Style12"/>
        <w:keepNext w:val="0"/>
        <w:keepLines w:val="0"/>
        <w:widowControl w:val="0"/>
        <w:numPr>
          <w:ilvl w:val="0"/>
          <w:numId w:val="7"/>
        </w:numPr>
        <w:shd w:val="clear" w:color="auto" w:fill="auto"/>
        <w:tabs>
          <w:tab w:pos="106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нарушения ч.3 ст.14, п.1 ч.1 ст.33, п.1, п.3 ч.2 ст.42, п.15 ч.1 ст.42 Закона о контрактной системе.</w:t>
      </w:r>
    </w:p>
    <w:p>
      <w:pPr>
        <w:pStyle w:val="Style12"/>
        <w:keepNext w:val="0"/>
        <w:keepLines w:val="0"/>
        <w:widowControl w:val="0"/>
        <w:numPr>
          <w:ilvl w:val="0"/>
          <w:numId w:val="7"/>
        </w:numPr>
        <w:shd w:val="clear" w:color="auto" w:fill="auto"/>
        <w:tabs>
          <w:tab w:pos="10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numPr>
          <w:ilvl w:val="0"/>
          <w:numId w:val="7"/>
        </w:numPr>
        <w:shd w:val="clear" w:color="auto" w:fill="auto"/>
        <w:tabs>
          <w:tab w:pos="1069"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776" w:right="534" w:bottom="896" w:left="1084" w:header="0" w:footer="3" w:gutter="0"/>
          <w:cols w:space="720"/>
          <w:noEndnote/>
          <w:rtlGutter w:val="0"/>
          <w:docGrid w:linePitch="360"/>
        </w:sectPr>
      </w:pPr>
      <w:r>
        <mc:AlternateContent>
          <mc:Choice Requires="wps">
            <w:drawing>
              <wp:anchor distT="127000" distB="356235" distL="0" distR="0" simplePos="0" relativeHeight="125829380" behindDoc="0" locked="0" layoutInCell="1" allowOverlap="1">
                <wp:simplePos x="0" y="0"/>
                <wp:positionH relativeFrom="page">
                  <wp:posOffset>728345</wp:posOffset>
                </wp:positionH>
                <wp:positionV relativeFrom="paragraph">
                  <wp:posOffset>127000</wp:posOffset>
                </wp:positionV>
                <wp:extent cx="1850390" cy="250190"/>
                <wp:wrapTopAndBottom/>
                <wp:docPr id="10" name="Shape 10"/>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350000000000001pt;margin-top:10.pt;width:145.70000000000002pt;height:19.699999999999999pt;z-index:-125829373;mso-wrap-distance-left:0;mso-wrap-distance-top:10.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2" behindDoc="0" locked="0" layoutInCell="1" allowOverlap="1">
            <wp:simplePos x="0" y="0"/>
            <wp:positionH relativeFrom="page">
              <wp:posOffset>3007995</wp:posOffset>
            </wp:positionH>
            <wp:positionV relativeFrom="paragraph">
              <wp:posOffset>163830</wp:posOffset>
            </wp:positionV>
            <wp:extent cx="389890" cy="57277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3504565</wp:posOffset>
                </wp:positionH>
                <wp:positionV relativeFrom="paragraph">
                  <wp:posOffset>602615</wp:posOffset>
                </wp:positionV>
                <wp:extent cx="1276985" cy="100330"/>
                <wp:wrapNone/>
                <wp:docPr id="14" name="Shape 14"/>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75.94999999999999pt;margin-top:47.450000000000003pt;width:100.5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3458845</wp:posOffset>
                </wp:positionH>
                <wp:positionV relativeFrom="paragraph">
                  <wp:posOffset>288925</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2.35000000000002pt;margin-top:22.75pt;width:135.84999999999999pt;height:20.15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3" behindDoc="0" locked="0" layoutInCell="1" allowOverlap="1">
                <wp:simplePos x="0" y="0"/>
                <wp:positionH relativeFrom="page">
                  <wp:posOffset>6177915</wp:posOffset>
                </wp:positionH>
                <wp:positionV relativeFrom="paragraph">
                  <wp:posOffset>127000</wp:posOffset>
                </wp:positionV>
                <wp:extent cx="1029970" cy="250190"/>
                <wp:wrapTopAndBottom/>
                <wp:docPr id="18" name="Shape 18"/>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4" type="#_x0000_t202" style="position:absolute;margin-left:486.44999999999999pt;margin-top:10.pt;width:81.100000000000009pt;height:19.699999999999999pt;z-index:-125829370;mso-wrap-distance-left:0;mso-wrap-distance-top:10.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36"/>
        <w:keepNext w:val="0"/>
        <w:keepLines w:val="0"/>
        <w:widowControl w:val="0"/>
        <w:shd w:val="clear" w:color="auto" w:fill="auto"/>
        <w:bidi w:val="0"/>
        <w:spacing w:before="0" w:after="0" w:line="240" w:lineRule="auto"/>
        <w:ind w:right="0" w:firstLine="0"/>
        <w:jc w:val="left"/>
      </w:pPr>
      <w:r>
        <w:rPr>
          <w:color w:val="262427"/>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КАЗАРИН СЕРГЕЙ ИГОРЕВИЧ</w:t>
      </w:r>
    </w:p>
    <w:p>
      <w:pPr>
        <w:pStyle w:val="Style36"/>
        <w:keepNext w:val="0"/>
        <w:keepLines w:val="0"/>
        <w:widowControl w:val="0"/>
        <w:shd w:val="clear" w:color="auto" w:fill="auto"/>
        <w:bidi w:val="0"/>
        <w:spacing w:before="0" w:after="0" w:line="240" w:lineRule="auto"/>
        <w:ind w:right="0" w:firstLine="0"/>
        <w:jc w:val="left"/>
      </w:pPr>
      <w:r>
        <w:rPr>
          <w:color w:val="2624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25152"/>
          <w:spacing w:val="0"/>
          <w:w w:val="100"/>
          <w:position w:val="0"/>
          <w:shd w:val="clear" w:color="auto" w:fill="auto"/>
          <w:lang w:val="ru-RU" w:eastAsia="ru-RU" w:bidi="ru-RU"/>
        </w:rPr>
        <w:t xml:space="preserve">000590946031СЕ073ВЕ5С506ЕЕ7501 </w:t>
      </w:r>
      <w:r>
        <w:rPr>
          <w:color w:val="676767"/>
          <w:spacing w:val="0"/>
          <w:w w:val="100"/>
          <w:position w:val="0"/>
          <w:shd w:val="clear" w:color="auto" w:fill="auto"/>
          <w:lang w:val="ru-RU" w:eastAsia="ru-RU" w:bidi="ru-RU"/>
        </w:rPr>
        <w:t>0760</w:t>
      </w:r>
    </w:p>
    <w:p>
      <w:pPr>
        <w:pStyle w:val="Style36"/>
        <w:keepNext w:val="0"/>
        <w:keepLines w:val="0"/>
        <w:widowControl w:val="0"/>
        <w:shd w:val="clear" w:color="auto" w:fill="auto"/>
        <w:bidi w:val="0"/>
        <w:spacing w:before="0" w:after="30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262427"/>
          <w:spacing w:val="0"/>
          <w:w w:val="100"/>
          <w:position w:val="0"/>
          <w:shd w:val="clear" w:color="auto" w:fill="auto"/>
          <w:lang w:val="ru-RU" w:eastAsia="ru-RU" w:bidi="ru-RU"/>
        </w:rPr>
        <w:t xml:space="preserve">с </w:t>
      </w:r>
      <w:r>
        <w:rPr>
          <w:color w:val="525152"/>
          <w:spacing w:val="0"/>
          <w:w w:val="100"/>
          <w:position w:val="0"/>
          <w:shd w:val="clear" w:color="auto" w:fill="auto"/>
          <w:lang w:val="ru-RU" w:eastAsia="ru-RU" w:bidi="ru-RU"/>
        </w:rPr>
        <w:t xml:space="preserve">12.03.2024 </w:t>
      </w:r>
      <w:r>
        <w:rPr>
          <w:color w:val="676767"/>
          <w:spacing w:val="0"/>
          <w:w w:val="100"/>
          <w:position w:val="0"/>
          <w:shd w:val="clear" w:color="auto" w:fill="auto"/>
          <w:lang w:val="ru-RU" w:eastAsia="ru-RU" w:bidi="ru-RU"/>
        </w:rPr>
        <w:t>по 05.06.2025</w:t>
      </w:r>
    </w:p>
    <w:p>
      <w:pPr>
        <w:pStyle w:val="Style1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5" behindDoc="0" locked="0" layoutInCell="1" allowOverlap="1">
            <wp:simplePos x="0" y="0"/>
            <wp:positionH relativeFrom="page">
              <wp:posOffset>3041650</wp:posOffset>
            </wp:positionH>
            <wp:positionV relativeFrom="paragraph">
              <wp:posOffset>63500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3505200</wp:posOffset>
                </wp:positionH>
                <wp:positionV relativeFrom="paragraph">
                  <wp:posOffset>466090</wp:posOffset>
                </wp:positionV>
                <wp:extent cx="1283335" cy="103505"/>
                <wp:wrapNone/>
                <wp:docPr id="22" name="Shape 2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76.pt;margin-top:36.700000000000003pt;width:101.05pt;height:8.15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3459480</wp:posOffset>
                </wp:positionH>
                <wp:positionV relativeFrom="paragraph">
                  <wp:posOffset>154940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2.39999999999998pt;margin-top:12.200000000000001pt;width:135.84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36"/>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525152"/>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Кутейников Антон Андреевич</w:t>
      </w:r>
    </w:p>
    <w:p>
      <w:pPr>
        <w:pStyle w:val="Style36"/>
        <w:keepNext w:val="0"/>
        <w:keepLines w:val="0"/>
        <w:widowControl w:val="0"/>
        <w:shd w:val="clear" w:color="auto" w:fill="auto"/>
        <w:bidi w:val="0"/>
        <w:spacing w:before="0" w:after="0" w:line="240" w:lineRule="auto"/>
        <w:ind w:right="0" w:firstLine="0"/>
        <w:jc w:val="left"/>
      </w:pPr>
      <w:r>
        <w:rPr>
          <w:color w:val="32313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25152"/>
          <w:spacing w:val="0"/>
          <w:w w:val="100"/>
          <w:position w:val="0"/>
          <w:shd w:val="clear" w:color="auto" w:fill="auto"/>
          <w:lang w:val="ru-RU" w:eastAsia="ru-RU" w:bidi="ru-RU"/>
        </w:rPr>
        <w:t>526ССО2Е48634А0964757620Е6Е0АЕ90</w:t>
      </w:r>
    </w:p>
    <w:p>
      <w:pPr>
        <w:pStyle w:val="Style36"/>
        <w:keepNext w:val="0"/>
        <w:keepLines w:val="0"/>
        <w:widowControl w:val="0"/>
        <w:shd w:val="clear" w:color="auto" w:fill="auto"/>
        <w:bidi w:val="0"/>
        <w:spacing w:before="0" w:after="300" w:line="240" w:lineRule="auto"/>
        <w:ind w:right="0" w:firstLine="0"/>
        <w:jc w:val="left"/>
      </w:pPr>
      <w:r>
        <w:rPr>
          <w:color w:val="525152"/>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23135"/>
          <w:spacing w:val="0"/>
          <w:w w:val="100"/>
          <w:position w:val="0"/>
          <w:shd w:val="clear" w:color="auto" w:fill="auto"/>
          <w:lang w:val="ru-RU" w:eastAsia="ru-RU" w:bidi="ru-RU"/>
        </w:rPr>
        <w:t xml:space="preserve">12.03.2024 </w:t>
      </w:r>
      <w:r>
        <w:rPr>
          <w:color w:val="848484"/>
          <w:spacing w:val="0"/>
          <w:w w:val="100"/>
          <w:position w:val="0"/>
          <w:shd w:val="clear" w:color="auto" w:fill="auto"/>
          <w:lang w:val="ru-RU" w:eastAsia="ru-RU" w:bidi="ru-RU"/>
        </w:rPr>
        <w:t xml:space="preserve">по </w:t>
      </w:r>
      <w:r>
        <w:rPr>
          <w:color w:val="525152"/>
          <w:spacing w:val="0"/>
          <w:w w:val="100"/>
          <w:position w:val="0"/>
          <w:shd w:val="clear" w:color="auto" w:fill="auto"/>
          <w:lang w:val="ru-RU" w:eastAsia="ru-RU" w:bidi="ru-RU"/>
        </w:rPr>
        <w:t>05.06.2025</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6" behindDoc="0" locked="0" layoutInCell="1" allowOverlap="1">
            <wp:simplePos x="0" y="0"/>
            <wp:positionH relativeFrom="page">
              <wp:posOffset>3007995</wp:posOffset>
            </wp:positionH>
            <wp:positionV relativeFrom="paragraph">
              <wp:posOffset>25400</wp:posOffset>
            </wp:positionV>
            <wp:extent cx="389890" cy="57277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3504565</wp:posOffset>
                </wp:positionH>
                <wp:positionV relativeFrom="paragraph">
                  <wp:posOffset>461010</wp:posOffset>
                </wp:positionV>
                <wp:extent cx="1283335" cy="103505"/>
                <wp:wrapNone/>
                <wp:docPr id="28" name="Shape 28"/>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75.94999999999999pt;margin-top:36.300000000000004pt;width:101.05pt;height:8.1500000000000004pt;z-index:251657737;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3458845</wp:posOffset>
                </wp:positionH>
                <wp:positionV relativeFrom="paragraph">
                  <wp:posOffset>150495</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2.35000000000002pt;margin-top:11.85pt;width:135.84999999999999pt;height:20.150000000000002pt;z-index:25165773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М.В.Сорбучева</w:t>
      </w:r>
    </w:p>
    <w:p>
      <w:pPr>
        <w:pStyle w:val="Style36"/>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Сорбучева Мария Васильевна</w:t>
      </w:r>
    </w:p>
    <w:p>
      <w:pPr>
        <w:pStyle w:val="Style36"/>
        <w:keepNext w:val="0"/>
        <w:keepLines w:val="0"/>
        <w:widowControl w:val="0"/>
        <w:shd w:val="clear" w:color="auto" w:fill="auto"/>
        <w:bidi w:val="0"/>
        <w:spacing w:before="0" w:after="0" w:line="240" w:lineRule="auto"/>
        <w:ind w:right="0" w:firstLine="0"/>
        <w:jc w:val="left"/>
      </w:pPr>
      <w:r>
        <w:rPr>
          <w:color w:val="32313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76767"/>
          <w:spacing w:val="0"/>
          <w:w w:val="100"/>
          <w:position w:val="0"/>
          <w:shd w:val="clear" w:color="auto" w:fill="auto"/>
          <w:lang w:val="ru-RU" w:eastAsia="ru-RU" w:bidi="ru-RU"/>
        </w:rPr>
        <w:t>00ЕЗВ71 218Е970424В4Э41С7997434Е304</w:t>
      </w:r>
    </w:p>
    <w:p>
      <w:pPr>
        <w:pStyle w:val="Style36"/>
        <w:keepNext w:val="0"/>
        <w:keepLines w:val="0"/>
        <w:widowControl w:val="0"/>
        <w:shd w:val="clear" w:color="auto" w:fill="auto"/>
        <w:bidi w:val="0"/>
        <w:spacing w:before="0" w:after="114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color w:val="848484"/>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13.12.2025</w:t>
      </w:r>
    </w:p>
    <w:p>
      <w:pPr>
        <w:pStyle w:val="Style4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10064750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2024-46985</w:t>
                          </w:r>
                        </w:p>
                      </w:txbxContent>
                    </wps:txbx>
                    <wps:bodyPr wrap="none" lIns="0" tIns="0" rIns="0" bIns="0">
                      <a:spAutoFit/>
                    </wps:bodyPr>
                  </wps:wsp>
                </a:graphicData>
              </a:graphic>
            </wp:anchor>
          </w:drawing>
        </mc:Choice>
        <mc:Fallback>
          <w:pict>
            <v:shape id="_x0000_s1030" type="#_x0000_t202" style="position:absolute;margin-left:57.pt;margin-top:792.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2024-46985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19455" cy="100330"/>
              <wp:wrapNone/>
              <wp:docPr id="6" name="Shape 6"/>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2024-46985</w:t>
                          </w:r>
                        </w:p>
                      </w:txbxContent>
                    </wps:txbx>
                    <wps:bodyPr wrap="none" lIns="0" tIns="0" rIns="0" bIns="0">
                      <a:spAutoFit/>
                    </wps:bodyPr>
                  </wps:wsp>
                </a:graphicData>
              </a:graphic>
            </wp:anchor>
          </w:drawing>
        </mc:Choice>
        <mc:Fallback>
          <w:pict>
            <v:shape id="_x0000_s1032" type="#_x0000_t202" style="position:absolute;margin-left:57.pt;margin-top:804.5pt;width:56.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2024-46985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448310</wp:posOffset>
              </wp:positionV>
              <wp:extent cx="128270" cy="103505"/>
              <wp:wrapNone/>
              <wp:docPr id="2" name="Shape 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30000000000001pt;margin-top:35.300000000000004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color w:val="262427"/>
      <w:sz w:val="12"/>
      <w:szCs w:val="12"/>
      <w:u w:val="none"/>
    </w:rPr>
  </w:style>
  <w:style w:type="character" w:customStyle="1" w:styleId="CharStyle22">
    <w:name w:val="Подпись к таблице_"/>
    <w:basedOn w:val="DefaultParagraphFont"/>
    <w:link w:val="Style21"/>
    <w:rPr>
      <w:rFonts w:ascii="Arial" w:eastAsia="Arial" w:hAnsi="Arial" w:cs="Arial"/>
      <w:b w:val="0"/>
      <w:bCs w:val="0"/>
      <w:i w:val="0"/>
      <w:iCs w:val="0"/>
      <w:smallCaps w:val="0"/>
      <w:strike w:val="0"/>
      <w:color w:val="262427"/>
      <w:sz w:val="15"/>
      <w:szCs w:val="15"/>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sz w:val="12"/>
      <w:szCs w:val="12"/>
      <w:u w:val="none"/>
    </w:rPr>
  </w:style>
  <w:style w:type="character" w:customStyle="1" w:styleId="CharStyle44">
    <w:name w:val="Основной текст (4)_"/>
    <w:basedOn w:val="DefaultParagraphFont"/>
    <w:link w:val="Style4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Подпись к картинке"/>
    <w:basedOn w:val="Normal"/>
    <w:link w:val="CharStyle1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427"/>
      <w:sz w:val="12"/>
      <w:szCs w:val="12"/>
      <w:u w:val="none"/>
    </w:rPr>
  </w:style>
  <w:style w:type="paragraph" w:customStyle="1" w:styleId="Style21">
    <w:name w:val="Подпись к таблице"/>
    <w:basedOn w:val="Normal"/>
    <w:link w:val="CharStyle22"/>
    <w:pPr>
      <w:widowControl w:val="0"/>
      <w:shd w:val="clear" w:color="auto" w:fill="auto"/>
      <w:ind w:left="1790"/>
    </w:pPr>
    <w:rPr>
      <w:rFonts w:ascii="Arial" w:eastAsia="Arial" w:hAnsi="Arial" w:cs="Arial"/>
      <w:b w:val="0"/>
      <w:bCs w:val="0"/>
      <w:i w:val="0"/>
      <w:iCs w:val="0"/>
      <w:smallCaps w:val="0"/>
      <w:strike w:val="0"/>
      <w:color w:val="262427"/>
      <w:sz w:val="15"/>
      <w:szCs w:val="15"/>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6">
    <w:name w:val="Основной текст (2)"/>
    <w:basedOn w:val="Normal"/>
    <w:link w:val="CharStyle37"/>
    <w:pPr>
      <w:widowControl w:val="0"/>
      <w:shd w:val="clear" w:color="auto" w:fill="auto"/>
      <w:ind w:left="3720"/>
    </w:pPr>
    <w:rPr>
      <w:rFonts w:ascii="Arial" w:eastAsia="Arial" w:hAnsi="Arial" w:cs="Arial"/>
      <w:b w:val="0"/>
      <w:bCs w:val="0"/>
      <w:i w:val="0"/>
      <w:iCs w:val="0"/>
      <w:smallCaps w:val="0"/>
      <w:strike w:val="0"/>
      <w:sz w:val="12"/>
      <w:szCs w:val="12"/>
      <w:u w:val="none"/>
    </w:rPr>
  </w:style>
  <w:style w:type="paragraph" w:customStyle="1" w:styleId="Style43">
    <w:name w:val="Основной текст (4)"/>
    <w:basedOn w:val="Normal"/>
    <w:link w:val="CharStyle44"/>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