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5150" distL="1092835" distR="1059180" simplePos="0" relativeHeight="125829378" behindDoc="0" locked="0" layoutInCell="1" allowOverlap="1">
            <wp:simplePos x="0" y="0"/>
            <wp:positionH relativeFrom="page">
              <wp:posOffset>1779905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801370</wp:posOffset>
                </wp:positionH>
                <wp:positionV relativeFrom="paragraph">
                  <wp:posOffset>622300</wp:posOffset>
                </wp:positionV>
                <wp:extent cx="2435225" cy="1831975"/>
                <wp:wrapSquare wrapText="right"/>
                <wp:docPr id="3" name="Shape 3"/>
                <a:graphic xmlns:a="http://schemas.openxmlformats.org/drawingml/2006/main">
                  <a:graphicData uri="http://schemas.microsoft.com/office/word/2010/wordprocessingShape">
                    <wps:wsp>
                      <wps:cNvSpPr txBox="1"/>
                      <wps:spPr>
                        <a:xfrm>
                          <a:ext cx="2435225" cy="1831975"/>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08.10.2024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41620/24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00000000000001pt;margin-top:49.pt;width:191.75pt;height:144.2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08.10.2024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41620/24</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ГКУ Дирекция ДОНМ</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Шгекыуа@еди.то8.ги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ООО «Сабрэкс»</w:t>
      </w:r>
    </w:p>
    <w:p>
      <w:pPr>
        <w:pStyle w:val="Style6"/>
        <w:keepNext w:val="0"/>
        <w:keepLines w:val="0"/>
        <w:widowControl w:val="0"/>
        <w:shd w:val="clear" w:color="auto" w:fill="auto"/>
        <w:bidi w:val="0"/>
        <w:spacing w:before="0" w:after="1000" w:line="240" w:lineRule="auto"/>
        <w:ind w:left="1140" w:right="0" w:firstLine="0"/>
        <w:jc w:val="both"/>
      </w:pPr>
      <w:r>
        <w:rPr>
          <w:color w:val="000000"/>
          <w:spacing w:val="0"/>
          <w:w w:val="100"/>
          <w:position w:val="0"/>
          <w:shd w:val="clear" w:color="auto" w:fill="auto"/>
          <w:lang w:val="ru-RU" w:eastAsia="ru-RU" w:bidi="ru-RU"/>
        </w:rPr>
        <w:t>1-а-у@таП.П1</w:t>
      </w:r>
    </w:p>
    <w:p>
      <w:pPr>
        <w:pStyle w:val="Style2"/>
        <w:keepNext w:val="0"/>
        <w:keepLines w:val="0"/>
        <w:widowControl w:val="0"/>
        <w:shd w:val="clear" w:color="auto" w:fill="auto"/>
        <w:bidi w:val="0"/>
        <w:spacing w:before="0" w:after="700" w:line="240" w:lineRule="auto"/>
        <w:ind w:left="0" w:right="0" w:firstLine="0"/>
        <w:jc w:val="both"/>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№077/06/106-13331/2024 о нарушении</w:t>
        <w:br/>
        <w:t>законодательства о контрактной системе</w:t>
        <w:br/>
        <w:t>03.10.2024</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А.А. Леоновой,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ГКУ Дирекция ДОНМ: С.В. Парамонова (по доверенности №72/24 от 13.03.2024),</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слушателя: А.В. Ильянковой,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«Сабрэкс», о времени и порядке заседания Комиссии Управления уведомленных посредством функционала Единой информационной системы,</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рассмотрев жалобу ООО «Сабрэкс» (далее — Заявитель) на действия ГКУ Дирекция ДОНМ (далее — Заказчик) при проведении запроса котировок в электронной форме на право заключения государственного контракта на поставку товара (стол компьютерный (письменный)) для оснащения учреждений СПО в 2024 году (среди СМП и СОНО) (Закупка № 0873500000824001225) (далее - запрос котировок), в соответствии с Федеральным законом от 05.04.2013 №44-ФЗ «О контрактной системе в сфере закупок товаров, работ, услуг для обеспечения</w:t>
      </w:r>
    </w:p>
    <w:p>
      <w:pPr>
        <w:pStyle w:val="Style14"/>
        <w:keepNext/>
        <w:keepLines/>
        <w:widowControl w:val="0"/>
        <w:shd w:val="clear" w:color="auto" w:fill="auto"/>
        <w:bidi w:val="0"/>
        <w:spacing w:before="0" w:after="240" w:line="240" w:lineRule="auto"/>
        <w:ind w:left="0" w:right="0"/>
        <w:jc w:val="both"/>
        <w:rPr>
          <w:sz w:val="28"/>
          <w:szCs w:val="28"/>
        </w:rPr>
      </w:pPr>
      <w:bookmarkStart w:id="0" w:name="bookmark0"/>
      <w:r>
        <w:rPr>
          <w:color w:val="000000"/>
          <w:spacing w:val="0"/>
          <w:w w:val="100"/>
          <w:position w:val="0"/>
          <w:sz w:val="34"/>
          <w:szCs w:val="34"/>
          <w:shd w:val="clear" w:color="auto" w:fill="auto"/>
          <w:lang w:val="ru-RU" w:eastAsia="ru-RU" w:bidi="ru-RU"/>
        </w:rPr>
        <w:t>||||||||||||||||||||||||||||</w:t>
      </w:r>
      <w:bookmarkEnd w:id="0"/>
      <w:r>
        <w:rPr>
          <w:color w:val="000000"/>
          <w:spacing w:val="0"/>
          <w:w w:val="100"/>
          <w:position w:val="0"/>
          <w:sz w:val="34"/>
          <w:szCs w:val="34"/>
          <w:shd w:val="clear" w:color="auto" w:fill="auto"/>
          <w:lang w:val="ru-RU" w:eastAsia="ru-RU" w:bidi="ru-RU"/>
        </w:rPr>
        <w:t xml:space="preserve"> </w:t>
      </w:r>
      <w:r>
        <w:rPr>
          <w:rStyle w:val="CharStyle7"/>
        </w:rPr>
        <w:t>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0" w:line="254"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запроса котировок.</w:t>
      </w:r>
    </w:p>
    <w:p>
      <w:pPr>
        <w:pStyle w:val="Style6"/>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признании заявки Заявителя не соответствующей требованиям извещения об осуществлении закупки.</w:t>
      </w:r>
    </w:p>
    <w:p>
      <w:pPr>
        <w:pStyle w:val="Style6"/>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Комиссия Управления установила следующее.</w:t>
      </w:r>
    </w:p>
    <w:p>
      <w:pPr>
        <w:pStyle w:val="Style6"/>
        <w:keepNext w:val="0"/>
        <w:keepLines w:val="0"/>
        <w:widowControl w:val="0"/>
        <w:shd w:val="clear" w:color="auto" w:fill="auto"/>
        <w:bidi w:val="0"/>
        <w:spacing w:before="0" w:after="0" w:line="257" w:lineRule="auto"/>
        <w:ind w:left="0" w:right="0" w:firstLine="720"/>
        <w:jc w:val="both"/>
        <w:rPr>
          <w:sz w:val="22"/>
          <w:szCs w:val="22"/>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86" w:right="539" w:bottom="773" w:left="1085"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Согласно протоколу подведения итогов определения поставщика (подрядчика, исполнителя) от 27.09.2024 №ИЗК1 заявка Заявителя (идентификационный номер заявки 1087858) отклонена на следующем основании: «</w:t>
      </w:r>
      <w:r>
        <w:rPr>
          <w:i/>
          <w:iCs/>
          <w:color w:val="000000"/>
          <w:spacing w:val="0"/>
          <w:w w:val="100"/>
          <w:position w:val="0"/>
          <w:sz w:val="28"/>
          <w:szCs w:val="28"/>
          <w:shd w:val="clear" w:color="auto" w:fill="auto"/>
          <w:lang w:val="ru-RU" w:eastAsia="ru-RU" w:bidi="ru-RU"/>
        </w:rPr>
        <w:t xml:space="preserve">Отклонить заявку на участие в закупке по п.5 ч.12 ст.48 №44-ФЗ «Непредставление информации и документов, предусмотренных п. 5 ч. 1 ст. 43 Закона № 44 ФЗ, если такие документы предусмотрены нормативными правовыми актами, принятыми в соответствии с ч. 3 ст. 14 Закона 44-ФЗ» Заявка участника признана не соответствующей требованиям на основании п.5 ч.12 ст. 48 Федерального закона от 05.04.2013 ^ 44-ФЗ «О контрактной системе в сфере закупок товаров, работ, услуг для обеспечения государственных и муниципальных нужд» и извещения о проведении запроса котировок в электронной форме (ч.3.1 «Требования к содержанию, составу заявки на участие в закупке и инструкция по ее заполнению») а именно: В соответствии с постановлением Правительства РФ от 30.04.2020 № 616 для подтверждения соответствия товара установленному запрету участник закупки представляет заказчику в составе заявки на участие в закупке номера реестровых записей из реестра российской промышленной продукции или евразийского реестра промышленных товаров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РФ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включается в контракт. 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или с указанием такого совокупного количества баллов, не соответствующего требованиям, установленным для целей </w:t>
      </w:r>
      <w:r>
        <w:rPr>
          <w:rFonts w:ascii="Cambria" w:eastAsia="Cambria" w:hAnsi="Cambria" w:cs="Cambria"/>
          <w:color w:val="000000"/>
          <w:spacing w:val="0"/>
          <w:w w:val="100"/>
          <w:position w:val="0"/>
          <w:sz w:val="22"/>
          <w:szCs w:val="22"/>
          <w:shd w:val="clear" w:color="auto" w:fill="auto"/>
          <w:lang w:val="ru-RU" w:eastAsia="ru-RU" w:bidi="ru-RU"/>
        </w:rPr>
        <w:t>2024-46582</w:t>
      </w:r>
    </w:p>
    <w:p>
      <w:pPr>
        <w:pStyle w:val="Style6"/>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6"/>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В составе заявки представлены номера реестровой записи из реестра российской промышленной продукции. При этом не представлена информация о совокупном количестве баллов за выполнение (освоение) технологических операций (условий) на территории Российской Федерации, указание которой предусмотрено постановлением Правительства Российской Федерации от 17 июля 2015 г. ^ 719</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извещением об осуществлении закупки Заказчику требуется к поставке: «Стол компьютерный» по позиции КТРУ 31.09.10.000-00000036.</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Комиссией Управления установлено, что согласно извещению о проведении запроса котировок в электронной форме от 18.09.2024 №0873500000824001225 </w:t>
      </w:r>
      <w:r>
        <w:rPr>
          <w:color w:val="000000"/>
          <w:spacing w:val="0"/>
          <w:w w:val="100"/>
          <w:position w:val="0"/>
          <w:shd w:val="clear" w:color="auto" w:fill="auto"/>
          <w:lang w:val="ru-RU" w:eastAsia="ru-RU" w:bidi="ru-RU"/>
        </w:rPr>
        <w:t>Заказчиком установлен запрет на допуск промышленных товаров, происходящих из иностранных государств в соответствии с положениями Постановления №616, при этом извещением определено, что закупаемые товары соответствуют позиции КТРУ 31.09.10.000-00000036 «Стол компьютерный», закупаемые товары соответствуют коду по общероссийскому классификатору продукции по видам экономической деятельности (далее — ОКПД2) ОКПД 2 31.09.13.190 «Мебель деревянная прочая, не включенная в другие группировки», который в свою очередь, включен в Перечень, установленный положениями Постановления №616.</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Требование о предоставлении информации и документов, предусмотренных Постановлением №616 в соответствии с ч.3 ст.14 Закона о контрактной системе, отражено в п.3 Требований к содержанию, составу заявки на участие в закупке и инструкция по ее заполнению: «В соответствии с постановлением Правительства РФ от 30.04.2020 № 616 для подтверждения соответствия товара установленному запрету участник закупки представляет заказчику в составе заявки на участие в закупке номера реестровых записей из реестра российской промышленной продукции или евразийского реестра промышленных товаров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РФ от 17 июля 2015 г. К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 решением Совета Евразийской экономической комиссии от 23 ноября 2020 г. К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включается в контракт. 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К 719 или решением Совета Евразийской экономической комиссии от 23 ноября 2020 г. К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Постановления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№616 (далее — Перечень).</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п.10 Постановления №616 установлено, что для подтверждения соответствия закупки промышленных товаров требованиям, установленным </w:t>
      </w:r>
      <w:r>
        <w:rPr>
          <w:color w:val="000000"/>
          <w:spacing w:val="0"/>
          <w:w w:val="100"/>
          <w:position w:val="0"/>
          <w:shd w:val="clear" w:color="auto" w:fill="auto"/>
          <w:lang w:val="ru-RU" w:eastAsia="ru-RU" w:bidi="ru-RU"/>
        </w:rPr>
        <w:t>Постановлением №616, участник закупки указывает (декларирует) в составе заявки на участие в закупке:</w:t>
      </w:r>
    </w:p>
    <w:p>
      <w:pPr>
        <w:pStyle w:val="Style6"/>
        <w:keepNext w:val="0"/>
        <w:keepLines w:val="0"/>
        <w:widowControl w:val="0"/>
        <w:numPr>
          <w:ilvl w:val="0"/>
          <w:numId w:val="1"/>
        </w:numPr>
        <w:shd w:val="clear" w:color="auto" w:fill="auto"/>
        <w:tabs>
          <w:tab w:pos="898" w:val="left"/>
        </w:tabs>
        <w:bidi w:val="0"/>
        <w:spacing w:before="0" w:after="0"/>
        <w:ind w:left="0" w:right="0" w:firstLine="70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6"/>
        <w:keepNext w:val="0"/>
        <w:keepLines w:val="0"/>
        <w:widowControl w:val="0"/>
        <w:numPr>
          <w:ilvl w:val="0"/>
          <w:numId w:val="1"/>
        </w:numPr>
        <w:shd w:val="clear" w:color="auto" w:fill="auto"/>
        <w:tabs>
          <w:tab w:pos="898" w:val="left"/>
        </w:tabs>
        <w:bidi w:val="0"/>
        <w:spacing w:before="0" w:after="0"/>
        <w:ind w:left="0" w:right="0" w:firstLine="70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подпункте «в» п.6 Постановления №616. Информация о реестровых записях о товаре и совокупном количестве баллов включается в контракт.</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№719 или решением Совета Евразийской экономической комиссии от 23 ноября 2020 г.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Номера реестровых записей из реестра российской промышленной продукции и единого реестра российской радиоэлектронной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w:t>
      </w:r>
      <w:r>
        <w:rPr>
          <w:color w:val="000000"/>
          <w:spacing w:val="0"/>
          <w:w w:val="100"/>
          <w:position w:val="0"/>
          <w:shd w:val="clear" w:color="auto" w:fill="auto"/>
          <w:lang w:val="ru-RU" w:eastAsia="ru-RU" w:bidi="ru-RU"/>
        </w:rPr>
        <w:t>включению в реестр российской промышленной продукции и в единый реестр российской радиоэлектронной продукции.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пп.«м» - «п» п.1, пп.«а» - «в» п.2, п.3 или п.4,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Участником в составе заявки предложен к поставке «Стол компьютерный», а также указан реестровый номер из реестра российской промышленной продукции от 03.08.2022 реестровый номер №10466173, исторический номер №2316\112\2022, где в графе «Информация о совокупном количестве баллов за выполнение (освоение) на территории Российской Федерации таких операций (условий): -».</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ind w:left="0" w:right="0" w:firstLine="700"/>
        <w:jc w:val="both"/>
        <w:sectPr>
          <w:headerReference w:type="default" r:id="rId11"/>
          <w:footerReference w:type="default" r:id="rId12"/>
          <w:footnotePr>
            <w:pos w:val="pageBottom"/>
            <w:numFmt w:val="decimal"/>
            <w:numRestart w:val="continuous"/>
          </w:footnotePr>
          <w:pgSz w:w="11900" w:h="16840"/>
          <w:pgMar w:top="1162" w:right="531" w:bottom="1085" w:left="1088" w:header="0" w:footer="3" w:gutter="0"/>
          <w:cols w:space="720"/>
          <w:noEndnote/>
          <w:rtlGutter w:val="0"/>
          <w:docGrid w:linePitch="360"/>
        </w:sectPr>
      </w:pPr>
      <w:r>
        <w:rPr>
          <w:color w:val="000000"/>
          <w:spacing w:val="0"/>
          <w:w w:val="100"/>
          <w:position w:val="0"/>
          <w:shd w:val="clear" w:color="auto" w:fill="auto"/>
          <w:lang w:val="ru-RU" w:eastAsia="ru-RU" w:bidi="ru-RU"/>
        </w:rPr>
        <w:t>В составе жалобы Заявитель указывает, что отклонение заявки комиссией Заказчика неправомерным, поскольку в заявке была предоставлена вся необходимая информация, требуемая извещением о проведении закупки и постановлением № 616. Товар, поставляемый Заявителем, подтвержден номером из реестра российской</w:t>
      </w:r>
    </w:p>
    <w:p>
      <w:pPr>
        <w:pStyle w:val="Style6"/>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промышленной продукции от 03.08.2022 № 10321646, исторический номер №2316\112\2022.</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свою очередь представитель Заказчика пояснил, что Заявителем предложена к поставке продукция с кодом ОКПД2 31.09.13.190 «Мебель деревянная прочая, не включенная в другие группировки», которая является объектом закупки, при этом постановлением Правительства Российской Федерации от 17 июля 2015 г. №719 предусмотрено требование к минимально возможному количеству баллов по коду ОКПД 2 31.09.13 «Мебель деревянная прочая, не включенная в другие группировки» - не менее 50 баллов, при этом в составе заявки Заявителя представлена выписка из реестра российской промышленной продукции (реестровый номер №10321646), согласно которой совокупное количество баллов не установлено.</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Таким образом, по мнению Заказчика, предложенный участником к поставке товар согласно представленной выписке из реестра российской промышленной продукции не достигает необходимого процентного показателя совокупного количества баллов от максимально возможного количества баллов для соответствующей продукции.</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Вместе с этим Комиссия Управления считает необходимым отметить следующее.</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п.1(2) Постановления Правительства РФ от 17.07.2015 №719 «О подтверждении производства промышленной продукции на территории Российской Федерации» (далее — Постановление №719) подтверждением соответствия товаров (продукции) требованиям, предусмотренным приложение к настоящему постановлению «Требования к промышленной продукции, предъявляемые в целях ее отнесения к продукции, произведенной на территории Российской Федерации» (далее - Требования к промышленной продукции), является акт экспертизы, выдаваемый Торгово-промышленной палатой Российской Федерации в порядке, определенном ею по согласованию с Министерством промышленности и торговли Российской Федерации.</w:t>
      </w:r>
    </w:p>
    <w:p>
      <w:pPr>
        <w:pStyle w:val="Style6"/>
        <w:keepNext w:val="0"/>
        <w:keepLines w:val="0"/>
        <w:widowControl w:val="0"/>
        <w:shd w:val="clear" w:color="auto" w:fill="auto"/>
        <w:bidi w:val="0"/>
        <w:spacing w:before="0" w:after="0" w:line="259"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Согласно п.52 Постановления №719 для целей осуществления закупок продукции, включенной в раздел XI настоящего приложения, для обеспечения государственных и муниципальных нужд в рамках Федерального закона «О контрактной системе в сфере закупок товаров, работ, услуг для обеспечения государственных и муниципальных нужд», предусматривающих в качестве требования наличие реестровой записи реестра российской промышленной продукции, размещаемого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сформированной в соответствии с постановлением Правительства Российской Федерации от 17 июля </w:t>
      </w:r>
      <w:r>
        <w:rPr>
          <w:rFonts w:ascii="Cambria" w:eastAsia="Cambria" w:hAnsi="Cambria" w:cs="Cambria"/>
          <w:color w:val="000000"/>
          <w:spacing w:val="0"/>
          <w:w w:val="100"/>
          <w:position w:val="0"/>
          <w:sz w:val="22"/>
          <w:szCs w:val="22"/>
          <w:shd w:val="clear" w:color="auto" w:fill="auto"/>
          <w:lang w:val="ru-RU" w:eastAsia="ru-RU" w:bidi="ru-RU"/>
        </w:rPr>
        <w:t>2024-46582</w:t>
      </w:r>
    </w:p>
    <w:p>
      <w:pPr>
        <w:pStyle w:val="Style6"/>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2015 г. К 719 «О подтверждении производства российской промышленной продукции" в отношении продукции мебельной и деревоперерабатывающей промышленности, при производстве указанной продукции должны выполняться требования и технологические операции, предусмотренные разделом XI настоящего приложения, обеспечивающие достижение следующего минимально возможного количества баллов в части товарных позиций:</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31.09.13 «Мебель деревянная прочая, не включенная в другие группировки» - не менее 50 баллов.</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п.2 Постановления №610 установлено, что выданные Министерством промышленности и торговли Российской Федерации до даты вступления в силу настоящего постановления заключения о подтверждении производства промышленной продукции на территории Российской Федерации в отношении продукции, включенной в разделы II, III, V, VII, XI, XVII приложения к постановлению Правительства РФ от 17.07.2015 №719 «О подтверждении производства промышленной продукции на территории Российской Федерации», действительны до окончания установленного срока их действия (далее — Заключение).</w:t>
      </w:r>
    </w:p>
    <w:p>
      <w:pPr>
        <w:pStyle w:val="Style6"/>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Вышеуказанное положение регламентирует срок действия заключения выданного Министерством промышленности и торговли Российской Федерации в рамках Постановления №719 до окончания его действия.</w:t>
      </w:r>
    </w:p>
    <w:p>
      <w:pPr>
        <w:pStyle w:val="Style6"/>
        <w:keepNext w:val="0"/>
        <w:keepLines w:val="0"/>
        <w:widowControl w:val="0"/>
        <w:shd w:val="clear" w:color="auto" w:fill="auto"/>
        <w:tabs>
          <w:tab w:pos="1186" w:val="left"/>
          <w:tab w:pos="1541" w:val="left"/>
          <w:tab w:pos="3293" w:val="left"/>
          <w:tab w:pos="4910" w:val="left"/>
          <w:tab w:pos="5472" w:val="left"/>
          <w:tab w:pos="7085" w:val="left"/>
          <w:tab w:pos="877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Вместе с тем письмом Минпромторг России №КА-17291/07 от 22.02.2024 установлено следующее: «При этом в соответствии с пунктами 6 и 7 постановления № 616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включаемой в данный реестр на основании заключения о подтверждении производства промышленной продукции на территории Российской Федерации, выдаваемого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 (далее соответственно - постановление № 719, Заключение) и содержащего для продукции, в отношении которой установлены требования о совокупном количестве баллов</w:t>
        <w:tab/>
        <w:t>за</w:t>
        <w:tab/>
        <w:t>выполнение</w:t>
        <w:tab/>
        <w:t>(освоение)</w:t>
        <w:tab/>
        <w:t>на</w:t>
        <w:tab/>
        <w:t>территории</w:t>
        <w:tab/>
        <w:t>Российской</w:t>
        <w:tab/>
        <w:t>Федерации</w:t>
      </w:r>
    </w:p>
    <w:p>
      <w:pPr>
        <w:pStyle w:val="Style6"/>
        <w:keepNext w:val="0"/>
        <w:keepLines w:val="0"/>
        <w:widowControl w:val="0"/>
        <w:shd w:val="clear" w:color="auto" w:fill="auto"/>
        <w:tabs>
          <w:tab w:pos="1186" w:val="left"/>
          <w:tab w:pos="1541" w:val="left"/>
          <w:tab w:pos="3293" w:val="left"/>
          <w:tab w:pos="4910" w:val="left"/>
          <w:tab w:pos="5472" w:val="left"/>
          <w:tab w:pos="7085" w:val="left"/>
          <w:tab w:pos="8770" w:val="left"/>
        </w:tabs>
        <w:bidi w:val="0"/>
        <w:spacing w:before="0" w:after="0" w:line="254" w:lineRule="auto"/>
        <w:ind w:left="0" w:right="0" w:firstLine="0"/>
        <w:jc w:val="both"/>
      </w:pPr>
      <w:r>
        <w:rPr>
          <w:color w:val="000000"/>
          <w:spacing w:val="0"/>
          <w:w w:val="100"/>
          <w:position w:val="0"/>
          <w:shd w:val="clear" w:color="auto" w:fill="auto"/>
          <w:lang w:val="ru-RU" w:eastAsia="ru-RU" w:bidi="ru-RU"/>
        </w:rPr>
        <w:t>соответствующих операций (условий), информацию о совокупном количестве баллов</w:t>
        <w:tab/>
        <w:t>за</w:t>
        <w:tab/>
        <w:t>выполнение</w:t>
        <w:tab/>
        <w:t>(освоение)</w:t>
        <w:tab/>
        <w:t>на</w:t>
        <w:tab/>
        <w:t>территории</w:t>
        <w:tab/>
        <w:t>Российской</w:t>
        <w:tab/>
        <w:t>Федерации</w:t>
      </w:r>
    </w:p>
    <w:p>
      <w:pPr>
        <w:pStyle w:val="Style6"/>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соответствующих операций (условий).</w:t>
      </w:r>
    </w:p>
    <w:p>
      <w:pPr>
        <w:pStyle w:val="Style6"/>
        <w:keepNext w:val="0"/>
        <w:keepLines w:val="0"/>
        <w:widowControl w:val="0"/>
        <w:shd w:val="clear" w:color="auto" w:fill="auto"/>
        <w:bidi w:val="0"/>
        <w:spacing w:before="0" w:after="0" w:line="259"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Отмечаю, что раздел III «Продукция отрасли специального машиностроения» требований к промышленной продукции, предъявляемых в целях ее отнесения к продукции, произведенной на территории Российской Федерации (приложение к постановлению № 719) (далее - Требования), устанавливает в отношении различных видов специализированной техники как требования об осуществлении определенного количества технологических операций при ее производстве, так и требования о совокупном количестве баллов за выполнение (освоение) на </w:t>
      </w:r>
      <w:r>
        <w:rPr>
          <w:rFonts w:ascii="Cambria" w:eastAsia="Cambria" w:hAnsi="Cambria" w:cs="Cambria"/>
          <w:color w:val="000000"/>
          <w:spacing w:val="0"/>
          <w:w w:val="100"/>
          <w:position w:val="0"/>
          <w:sz w:val="22"/>
          <w:szCs w:val="22"/>
          <w:shd w:val="clear" w:color="auto" w:fill="auto"/>
          <w:lang w:val="ru-RU" w:eastAsia="ru-RU" w:bidi="ru-RU"/>
        </w:rPr>
        <w:t>2024-46582</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территории Российской Федерации соответствующих операций (условий). При этом примечаниями к Требованиям для продукции, в отношении которой постановлением № 719 предусмотрена балльная система оценки уровня локализации, установлено, что для целей осуществления ее закупок в рамках Федерального закона № 44-ФЗ при ее производстве должны выполняться технологические и производственные операции (условия), обеспечивающие достижение установленных процентных показателей от максимально возможного количества баллов для соответствующей продукции.</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с даты вступления в силу изменений в постановление № 719, предусматривающих введение балльной системы оценки уровня локализации специализированной техники, Заключения на такую промышленную продукцию, в которых отсутствует информация о совокупном количестве баллов за выполнение (освоение) на территории Российской Федерации соответствующих операций (условий), не могут быть использованы для подтверждения производства промышленной продукции на территории Российской Федерации в целях применения постановления № 616».</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пп.3 п.10 Постановления Правительства РФ от 30.04.2020 № 616, 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на основании вышеуказанных сведений, представленная в составе заявки реестровая запись из реестра промышленной продукции не подтверждает страну происхождения предлагаемого к поставке товара в рамках действия Постановления №616.</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3"/>
        </w:numPr>
        <w:shd w:val="clear" w:color="auto" w:fill="auto"/>
        <w:tabs>
          <w:tab w:pos="1070" w:val="left"/>
        </w:tabs>
        <w:bidi w:val="0"/>
        <w:spacing w:before="0" w:after="0"/>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070" w:val="left"/>
        </w:tabs>
        <w:bidi w:val="0"/>
        <w:spacing w:before="0" w:after="0" w:line="295" w:lineRule="auto"/>
        <w:ind w:left="0" w:right="0" w:firstLine="720"/>
        <w:jc w:val="both"/>
        <w:rPr>
          <w:sz w:val="22"/>
          <w:szCs w:val="22"/>
        </w:rPr>
        <w:sectPr>
          <w:headerReference w:type="default" r:id="rId13"/>
          <w:footerReference w:type="default" r:id="rId14"/>
          <w:footnotePr>
            <w:pos w:val="pageBottom"/>
            <w:numFmt w:val="decimal"/>
            <w:numRestart w:val="continuous"/>
          </w:footnotePr>
          <w:pgSz w:w="11900" w:h="16840"/>
          <w:pgMar w:top="1162" w:right="539" w:bottom="658" w:left="1103" w:header="0" w:footer="230"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непредставления информации и документов, предусмотренных п. 2 и 3 ч. 6 ст.43 Закона о контрактной системе, несоответствия таких информации и </w:t>
      </w:r>
      <w:r>
        <w:rPr>
          <w:rFonts w:ascii="Cambria" w:eastAsia="Cambria" w:hAnsi="Cambria" w:cs="Cambria"/>
          <w:color w:val="000000"/>
          <w:spacing w:val="0"/>
          <w:w w:val="100"/>
          <w:position w:val="0"/>
          <w:sz w:val="22"/>
          <w:szCs w:val="22"/>
          <w:shd w:val="clear" w:color="auto" w:fill="auto"/>
          <w:lang w:val="ru-RU" w:eastAsia="ru-RU" w:bidi="ru-RU"/>
        </w:rPr>
        <w:t>2024-46582</w:t>
      </w:r>
    </w:p>
    <w:p>
      <w:pPr>
        <w:pStyle w:val="Style6"/>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098"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6"/>
        <w:keepNext w:val="0"/>
        <w:keepLines w:val="0"/>
        <w:widowControl w:val="0"/>
        <w:numPr>
          <w:ilvl w:val="0"/>
          <w:numId w:val="3"/>
        </w:numPr>
        <w:shd w:val="clear" w:color="auto" w:fill="auto"/>
        <w:tabs>
          <w:tab w:pos="1098"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3"/>
        </w:numPr>
        <w:shd w:val="clear" w:color="auto" w:fill="auto"/>
        <w:tabs>
          <w:tab w:pos="1103"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3"/>
        </w:numPr>
        <w:shd w:val="clear" w:color="auto" w:fill="auto"/>
        <w:tabs>
          <w:tab w:pos="1098"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3"/>
        </w:numPr>
        <w:shd w:val="clear" w:color="auto" w:fill="auto"/>
        <w:tabs>
          <w:tab w:pos="1790"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3"/>
        </w:numPr>
        <w:shd w:val="clear" w:color="auto" w:fill="auto"/>
        <w:tabs>
          <w:tab w:pos="1098"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3"/>
        </w:numPr>
        <w:shd w:val="clear" w:color="auto" w:fill="auto"/>
        <w:tabs>
          <w:tab w:pos="1098" w:val="left"/>
        </w:tabs>
        <w:bidi w:val="0"/>
        <w:spacing w:before="0" w:after="0" w:line="254"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у комиссии Заказчика имелись основания для признания заявки Заявителя несоответствующей, и решение комиссии Заказчика в части отклонения заявки Заявителя является правомерным.</w:t>
      </w:r>
    </w:p>
    <w:p>
      <w:pPr>
        <w:pStyle w:val="Style6"/>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6"/>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1. Признать жалобу ООО «Сабрэкс» на действия ГКУ Дирекция ДОНМ необоснованной.</w:t>
      </w:r>
    </w:p>
    <w:p>
      <w:pPr>
        <w:pStyle w:val="Style6"/>
        <w:keepNext w:val="0"/>
        <w:keepLines w:val="0"/>
        <w:widowControl w:val="0"/>
        <w:shd w:val="clear" w:color="auto" w:fill="auto"/>
        <w:bidi w:val="0"/>
        <w:spacing w:before="0" w:after="300" w:line="257" w:lineRule="auto"/>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Московским УФАС России.</w:t>
      </w:r>
    </w:p>
    <w:p>
      <w:pPr>
        <w:pStyle w:val="Style6"/>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58" w:right="531" w:bottom="1811" w:left="1101" w:header="0" w:footer="3" w:gutter="0"/>
          <w:cols w:space="720"/>
          <w:noEndnote/>
          <w:rtlGutter w:val="0"/>
          <w:docGrid w:linePitch="360"/>
        </w:sectPr>
      </w:pPr>
      <w:r>
        <mc:AlternateContent>
          <mc:Choice Requires="wps">
            <w:drawing>
              <wp:anchor distT="139700" distB="203835" distL="0" distR="0" simplePos="0" relativeHeight="125829381" behindDoc="0" locked="0" layoutInCell="1" allowOverlap="1">
                <wp:simplePos x="0" y="0"/>
                <wp:positionH relativeFrom="page">
                  <wp:posOffset>732790</wp:posOffset>
                </wp:positionH>
                <wp:positionV relativeFrom="paragraph">
                  <wp:posOffset>139700</wp:posOffset>
                </wp:positionV>
                <wp:extent cx="1896110" cy="250190"/>
                <wp:wrapTopAndBottom/>
                <wp:docPr id="19" name="Shape 19"/>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700000000000003pt;margin-top:11.pt;width:149.30000000000001pt;height:19.699999999999999pt;z-index:-125829372;mso-wrap-distance-left:0;mso-wrap-distance-top:11.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31140" distB="0" distL="0" distR="1807210" simplePos="0" relativeHeight="125829383" behindDoc="0" locked="0" layoutInCell="1" allowOverlap="1">
            <wp:simplePos x="0" y="0"/>
            <wp:positionH relativeFrom="page">
              <wp:posOffset>3128645</wp:posOffset>
            </wp:positionH>
            <wp:positionV relativeFrom="paragraph">
              <wp:posOffset>231140</wp:posOffset>
            </wp:positionV>
            <wp:extent cx="311150" cy="36576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3521710</wp:posOffset>
                </wp:positionH>
                <wp:positionV relativeFrom="paragraph">
                  <wp:posOffset>300990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30000000000001pt;margin-top:23.699999999999999pt;width:135.84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03835" distL="0" distR="0" simplePos="0" relativeHeight="125829384" behindDoc="0" locked="0" layoutInCell="1" allowOverlap="1">
                <wp:simplePos x="0" y="0"/>
                <wp:positionH relativeFrom="page">
                  <wp:posOffset>6082030</wp:posOffset>
                </wp:positionH>
                <wp:positionV relativeFrom="paragraph">
                  <wp:posOffset>139700</wp:posOffset>
                </wp:positionV>
                <wp:extent cx="1136650" cy="250190"/>
                <wp:wrapTopAndBottom/>
                <wp:docPr id="25" name="Shape 25"/>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1" type="#_x0000_t202" style="position:absolute;margin-left:478.90000000000003pt;margin-top:11.pt;width:89.5pt;height:19.699999999999999pt;z-index:-125829369;mso-wrap-distance-left:0;mso-wrap-distance-top:11.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rPr>
          <w:sz w:val="11"/>
          <w:szCs w:val="11"/>
        </w:rPr>
      </w:pPr>
      <w:r>
        <w:rPr>
          <w:color w:val="E8E8E8"/>
          <w:spacing w:val="0"/>
          <w:w w:val="100"/>
          <w:position w:val="0"/>
          <w:sz w:val="11"/>
          <w:szCs w:val="11"/>
          <w:shd w:val="clear" w:color="auto" w:fill="auto"/>
          <w:lang w:val="ru-RU" w:eastAsia="ru-RU" w:bidi="ru-RU"/>
        </w:rPr>
        <w:t xml:space="preserve">СВЕДЕНИЯ </w:t>
      </w:r>
      <w:r>
        <w:rPr>
          <w:color w:val="FFFFFF"/>
          <w:spacing w:val="0"/>
          <w:w w:val="100"/>
          <w:position w:val="0"/>
          <w:sz w:val="11"/>
          <w:szCs w:val="11"/>
          <w:shd w:val="clear" w:color="auto" w:fill="auto"/>
          <w:lang w:val="ru-RU" w:eastAsia="ru-RU" w:bidi="ru-RU"/>
        </w:rPr>
        <w:t>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Грешнева Дарья Сергеевна</w:t>
      </w:r>
    </w:p>
    <w:p>
      <w:pPr>
        <w:pStyle w:val="Style24"/>
        <w:keepNext w:val="0"/>
        <w:keepLines w:val="0"/>
        <w:widowControl w:val="0"/>
        <w:shd w:val="clear" w:color="auto" w:fill="auto"/>
        <w:bidi w:val="0"/>
        <w:spacing w:before="0" w:after="0" w:line="240" w:lineRule="auto"/>
        <w:ind w:right="0" w:firstLine="0"/>
        <w:jc w:val="left"/>
      </w:pPr>
      <w:r>
        <w:rPr>
          <w:color w:val="2A2A2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00Е5ЕО2ЕА33995761 </w:t>
      </w:r>
      <w:r>
        <w:rPr>
          <w:color w:val="2A2A2A"/>
          <w:spacing w:val="0"/>
          <w:w w:val="100"/>
          <w:position w:val="0"/>
          <w:shd w:val="clear" w:color="auto" w:fill="auto"/>
          <w:lang w:val="ru-RU" w:eastAsia="ru-RU" w:bidi="ru-RU"/>
        </w:rPr>
        <w:t>О5А45С83ЕВ9ЕЕО0Е</w:t>
      </w:r>
      <w:r>
        <w:rPr>
          <w:color w:val="2A2A2A"/>
          <w:spacing w:val="0"/>
          <w:w w:val="100"/>
          <w:position w:val="0"/>
          <w:shd w:val="clear" w:color="auto" w:fill="auto"/>
          <w:lang w:val="ru-RU" w:eastAsia="ru-RU" w:bidi="ru-RU"/>
        </w:rPr>
        <w:t>Е</w:t>
      </w:r>
    </w:p>
    <w:p>
      <w:pPr>
        <w:pStyle w:val="Style24"/>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A2A2A"/>
          <w:spacing w:val="0"/>
          <w:w w:val="100"/>
          <w:position w:val="0"/>
          <w:shd w:val="clear" w:color="auto" w:fill="auto"/>
          <w:lang w:val="ru-RU" w:eastAsia="ru-RU" w:bidi="ru-RU"/>
        </w:rPr>
        <w:t xml:space="preserve">07.05.2024 </w:t>
      </w:r>
      <w:r>
        <w:rPr>
          <w:color w:val="7D7D7D"/>
          <w:spacing w:val="0"/>
          <w:w w:val="100"/>
          <w:position w:val="0"/>
          <w:shd w:val="clear" w:color="auto" w:fill="auto"/>
          <w:lang w:val="ru-RU" w:eastAsia="ru-RU" w:bidi="ru-RU"/>
        </w:rPr>
        <w:t>по 31</w:t>
      </w:r>
      <w:r>
        <w:rPr>
          <w:spacing w:val="0"/>
          <w:w w:val="100"/>
          <w:position w:val="0"/>
          <w:shd w:val="clear" w:color="auto" w:fill="auto"/>
          <w:lang w:val="ru-RU" w:eastAsia="ru-RU" w:bidi="ru-RU"/>
        </w:rPr>
        <w:t>.07.2025</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20" w:line="240" w:lineRule="auto"/>
        <w:ind w:left="1560" w:right="0" w:firstLine="0"/>
        <w:jc w:val="left"/>
      </w:pPr>
      <w:r>
        <w:drawing>
          <wp:anchor distT="0" distB="0" distL="114300" distR="1903730" simplePos="0" relativeHeight="125829386" behindDoc="0" locked="0" layoutInCell="1" allowOverlap="1">
            <wp:simplePos x="0" y="0"/>
            <wp:positionH relativeFrom="page">
              <wp:posOffset>3070860</wp:posOffset>
            </wp:positionH>
            <wp:positionV relativeFrom="paragraph">
              <wp:posOffset>25400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464185</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О 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80.90000000000003pt;margin-top:36.550000000000004pt;width:100.8pt;height:8.15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О 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3521710</wp:posOffset>
                </wp:positionH>
                <wp:positionV relativeFrom="paragraph">
                  <wp:posOffset>153670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30000000000001pt;margin-top:12.1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4"/>
        <w:keepNext w:val="0"/>
        <w:keepLines w:val="0"/>
        <w:widowControl w:val="0"/>
        <w:shd w:val="clear" w:color="auto" w:fill="auto"/>
        <w:bidi w:val="0"/>
        <w:spacing w:before="0" w:after="0" w:line="240" w:lineRule="auto"/>
        <w:ind w:right="0" w:firstLine="0"/>
        <w:jc w:val="left"/>
      </w:pPr>
      <w:r>
        <w:rPr>
          <w:color w:val="2A2A2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008АВСВВ24Э1</w:t>
      </w:r>
      <w:r>
        <w:rPr>
          <w:color w:val="2A2A2A"/>
          <w:spacing w:val="0"/>
          <w:w w:val="100"/>
          <w:position w:val="0"/>
          <w:shd w:val="clear" w:color="auto" w:fill="auto"/>
          <w:lang w:val="ru-RU" w:eastAsia="ru-RU" w:bidi="ru-RU"/>
        </w:rPr>
        <w:t>В04705С4В0130528702ЕАЕ</w:t>
      </w:r>
    </w:p>
    <w:p>
      <w:pPr>
        <w:pStyle w:val="Style24"/>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04.10.2025</w:t>
      </w:r>
    </w:p>
    <w:p>
      <w:pPr>
        <w:pStyle w:val="Style6"/>
        <w:keepNext w:val="0"/>
        <w:keepLines w:val="0"/>
        <w:widowControl w:val="0"/>
        <w:shd w:val="clear" w:color="auto" w:fill="auto"/>
        <w:bidi w:val="0"/>
        <w:spacing w:before="0" w:after="390" w:line="240" w:lineRule="auto"/>
        <w:ind w:left="1280" w:right="0" w:firstLine="0"/>
        <w:jc w:val="left"/>
      </w:pPr>
      <w:r>
        <w:drawing>
          <wp:anchor distT="0" distB="0" distL="114300" distR="1903730" simplePos="0" relativeHeight="125829387" behindDoc="0" locked="0" layoutInCell="1" allowOverlap="1">
            <wp:simplePos x="0" y="0"/>
            <wp:positionH relativeFrom="page">
              <wp:posOffset>3104515</wp:posOffset>
            </wp:positionH>
            <wp:positionV relativeFrom="paragraph">
              <wp:posOffset>63500</wp:posOffset>
            </wp:positionV>
            <wp:extent cx="353695" cy="40259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353695" cy="4025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3522345</wp:posOffset>
                </wp:positionH>
                <wp:positionV relativeFrom="paragraph">
                  <wp:posOffset>154940</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35000000000002pt;margin-top:12.200000000000001pt;width:135.84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Леонова Алена Альбертовна</w:t>
      </w:r>
    </w:p>
    <w:p>
      <w:pPr>
        <w:pStyle w:val="Style24"/>
        <w:keepNext w:val="0"/>
        <w:keepLines w:val="0"/>
        <w:widowControl w:val="0"/>
        <w:shd w:val="clear" w:color="auto" w:fill="auto"/>
        <w:bidi w:val="0"/>
        <w:spacing w:before="0" w:after="0" w:line="240" w:lineRule="auto"/>
        <w:ind w:right="0" w:firstLine="0"/>
        <w:jc w:val="left"/>
      </w:pPr>
      <w:r>
        <w:rPr>
          <w:color w:val="2A2A2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A2A2A"/>
          <w:spacing w:val="0"/>
          <w:w w:val="100"/>
          <w:position w:val="0"/>
          <w:shd w:val="clear" w:color="auto" w:fill="auto"/>
          <w:lang w:val="ru-RU" w:eastAsia="ru-RU" w:bidi="ru-RU"/>
        </w:rPr>
        <w:t>009389Е972АА570Р2201</w:t>
      </w:r>
      <w:r>
        <w:rPr>
          <w:color w:val="000000"/>
          <w:spacing w:val="0"/>
          <w:w w:val="100"/>
          <w:position w:val="0"/>
          <w:shd w:val="clear" w:color="auto" w:fill="auto"/>
          <w:lang w:val="ru-RU" w:eastAsia="ru-RU" w:bidi="ru-RU"/>
        </w:rPr>
        <w:t>9Е7С51</w:t>
      </w:r>
      <w:r>
        <w:rPr>
          <w:color w:val="2A2A2A"/>
          <w:spacing w:val="0"/>
          <w:w w:val="100"/>
          <w:position w:val="0"/>
          <w:shd w:val="clear" w:color="auto" w:fill="auto"/>
          <w:lang w:val="ru-RU" w:eastAsia="ru-RU" w:bidi="ru-RU"/>
        </w:rPr>
        <w:t>028В0906</w:t>
      </w:r>
    </w:p>
    <w:p>
      <w:pPr>
        <w:pStyle w:val="Style24"/>
        <w:keepNext w:val="0"/>
        <w:keepLines w:val="0"/>
        <w:widowControl w:val="0"/>
        <w:shd w:val="clear" w:color="auto" w:fill="auto"/>
        <w:bidi w:val="0"/>
        <w:spacing w:before="0" w:after="3620" w:line="240" w:lineRule="auto"/>
        <w:ind w:right="0" w:firstLine="0"/>
        <w:jc w:val="left"/>
      </w:pPr>
      <w:r>
        <w:rPr>
          <w:spacing w:val="0"/>
          <w:w w:val="100"/>
          <w:position w:val="0"/>
          <w:shd w:val="clear" w:color="auto" w:fill="auto"/>
          <w:lang w:val="ru-RU" w:eastAsia="ru-RU" w:bidi="ru-RU"/>
        </w:rPr>
        <w:t xml:space="preserve">Действителен </w:t>
      </w:r>
      <w:r>
        <w:rPr>
          <w:color w:val="2A2A2A"/>
          <w:spacing w:val="0"/>
          <w:w w:val="100"/>
          <w:position w:val="0"/>
          <w:shd w:val="clear" w:color="auto" w:fill="auto"/>
          <w:lang w:val="ru-RU" w:eastAsia="ru-RU" w:bidi="ru-RU"/>
        </w:rPr>
        <w:t xml:space="preserve">с 20.09.2024 </w:t>
      </w:r>
      <w:r>
        <w:rPr>
          <w:spacing w:val="0"/>
          <w:w w:val="100"/>
          <w:position w:val="0"/>
          <w:shd w:val="clear" w:color="auto" w:fill="auto"/>
          <w:lang w:val="ru-RU" w:eastAsia="ru-RU" w:bidi="ru-RU"/>
        </w:rPr>
        <w:t>по 14.12.2025</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Исп.Гугава Э.З. тел.495-784-75-05 вн.</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719455</wp:posOffset>
              </wp:positionH>
              <wp:positionV relativeFrom="page">
                <wp:posOffset>10266045</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2024-46582</w:t>
                          </w:r>
                        </w:p>
                      </w:txbxContent>
                    </wps:txbx>
                    <wps:bodyPr wrap="none" lIns="0" tIns="0" rIns="0" bIns="0">
                      <a:spAutoFit/>
                    </wps:bodyPr>
                  </wps:wsp>
                </a:graphicData>
              </a:graphic>
            </wp:anchor>
          </w:drawing>
        </mc:Choice>
        <mc:Fallback>
          <w:pict>
            <v:shape id="_x0000_s1033" type="#_x0000_t202" style="position:absolute;margin-left:56.649999999999999pt;margin-top:808.35000000000002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2024-46582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10092690</wp:posOffset>
              </wp:positionV>
              <wp:extent cx="719455" cy="100330"/>
              <wp:wrapNone/>
              <wp:docPr id="11" name="Shape 1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2024-46582</w:t>
                          </w:r>
                        </w:p>
                      </w:txbxContent>
                    </wps:txbx>
                    <wps:bodyPr wrap="none" lIns="0" tIns="0" rIns="0" bIns="0">
                      <a:spAutoFit/>
                    </wps:bodyPr>
                  </wps:wsp>
                </a:graphicData>
              </a:graphic>
            </wp:anchor>
          </w:drawing>
        </mc:Choice>
        <mc:Fallback>
          <w:pict>
            <v:shape id="_x0000_s1037" type="#_x0000_t202" style="position:absolute;margin-left:57.pt;margin-top:794.70000000000005pt;width:56.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2024-46582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723900</wp:posOffset>
              </wp:positionH>
              <wp:positionV relativeFrom="page">
                <wp:posOffset>10092690</wp:posOffset>
              </wp:positionV>
              <wp:extent cx="719455" cy="100330"/>
              <wp:wrapNone/>
              <wp:docPr id="17" name="Shape 1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2024-46582</w:t>
                          </w:r>
                        </w:p>
                      </w:txbxContent>
                    </wps:txbx>
                    <wps:bodyPr wrap="none" lIns="0" tIns="0" rIns="0" bIns="0">
                      <a:spAutoFit/>
                    </wps:bodyPr>
                  </wps:wsp>
                </a:graphicData>
              </a:graphic>
            </wp:anchor>
          </w:drawing>
        </mc:Choice>
        <mc:Fallback>
          <w:pict>
            <v:shape id="_x0000_s1043" type="#_x0000_t202" style="position:absolute;margin-left:57.pt;margin-top:794.70000000000005pt;width:56.64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2024-46582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3928745</wp:posOffset>
              </wp:positionH>
              <wp:positionV relativeFrom="page">
                <wp:posOffset>427355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35000000000002pt;margin-top:33.6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3899535</wp:posOffset>
              </wp:positionH>
              <wp:positionV relativeFrom="page">
                <wp:posOffset>476250</wp:posOffset>
              </wp:positionV>
              <wp:extent cx="113030" cy="103505"/>
              <wp:wrapNone/>
              <wp:docPr id="9" name="Shape 9"/>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05000000000001pt;margin-top:37.5pt;width:8.9000000000000004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3928745</wp:posOffset>
              </wp:positionH>
              <wp:positionV relativeFrom="page">
                <wp:posOffset>427355</wp:posOffset>
              </wp:positionV>
              <wp:extent cx="67310" cy="103505"/>
              <wp:wrapNone/>
              <wp:docPr id="13" name="Shape 1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35000000000002pt;margin-top:33.649999999999999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3899535</wp:posOffset>
              </wp:positionH>
              <wp:positionV relativeFrom="page">
                <wp:posOffset>476250</wp:posOffset>
              </wp:positionV>
              <wp:extent cx="113030" cy="103505"/>
              <wp:wrapNone/>
              <wp:docPr id="15" name="Shape 15"/>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7.05000000000001pt;margin-top:37.5pt;width:8.9000000000000004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A2A2A"/>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656565"/>
      <w:sz w:val="12"/>
      <w:szCs w:val="12"/>
      <w:u w:val="none"/>
    </w:rPr>
  </w:style>
  <w:style w:type="character" w:customStyle="1" w:styleId="CharStyle33">
    <w:name w:val="Основной текст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A2A2A"/>
      <w:sz w:val="12"/>
      <w:szCs w:val="12"/>
      <w:u w:val="none"/>
    </w:rPr>
  </w:style>
  <w:style w:type="paragraph" w:customStyle="1" w:styleId="Style24">
    <w:name w:val="Основной текст (2)"/>
    <w:basedOn w:val="Normal"/>
    <w:link w:val="CharStyle25"/>
    <w:pPr>
      <w:widowControl w:val="0"/>
      <w:shd w:val="clear" w:color="auto" w:fill="auto"/>
      <w:spacing w:after="40"/>
      <w:ind w:left="3820"/>
    </w:pPr>
    <w:rPr>
      <w:rFonts w:ascii="Arial" w:eastAsia="Arial" w:hAnsi="Arial" w:cs="Arial"/>
      <w:b w:val="0"/>
      <w:bCs w:val="0"/>
      <w:i w:val="0"/>
      <w:iCs w:val="0"/>
      <w:smallCaps w:val="0"/>
      <w:strike w:val="0"/>
      <w:color w:val="656565"/>
      <w:sz w:val="12"/>
      <w:szCs w:val="12"/>
      <w:u w:val="none"/>
    </w:rPr>
  </w:style>
  <w:style w:type="paragraph" w:customStyle="1" w:styleId="Style32">
    <w:name w:val="Основной текст (4)"/>
    <w:basedOn w:val="Normal"/>
    <w:link w:val="CharStyle33"/>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