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76199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1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1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  <w:rPr>
          <w:sz w:val="16"/>
          <w:szCs w:val="16"/>
        </w:rPr>
      </w:pPr>
      <w:r>
        <w:rPr>
          <w:color w:val="4761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color w:val="4761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1о26@&amp;8.§оу.гп</w:t>
      </w:r>
    </w:p>
    <w:p>
      <w:pPr>
        <w:pStyle w:val="Style12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НП/12795/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761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"Строительно-монтажная- компания "Жилье"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368300,г.Каспийск, ул. М. Халилова, 32 058тк@тай.ги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ГУП СК "Ставропольский краевой теплоэнергетический комплекс" 81а\торо1@д11р4&lt;1ек.П1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38" w:bottom="1231" w:left="1140" w:header="0" w:footer="3" w:gutter="0"/>
          <w:pgNumType w:start="1"/>
          <w:cols w:num="2" w:space="50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 355006 Ставропольский край, г. Ставрополь, пр. К.Маркса, д. 63 тГо@81ау-/а1&lt;11рк1.П1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" w:right="0" w:bottom="11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026/06/106-2325/2024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начальника отдела контроля закупок Управления Федеральной антимонопольной службы по Ставропольскому краю Пызиной Н.Г.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Бабенко И.А., Сауэр А.Г., Мингалиев В.Г.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— Головейко Н.С., Мурзина А.Н.,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СМК «Жилье» - Батыров Ш.К., Даниленко И.В.,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ООО «Строительно- Монтажная-Компания «Жилье» на действия заказчика — ГУП СК «Ставропольский краевой теплоэнергитический комплекс», уполномоченного органа — Комитета Ставропольского края по государственным закупкам по факту осуществления закупки путем проведения открытого конкурса в электронной форме № </w:t>
      </w:r>
      <w:r>
        <w:fldChar w:fldCharType="begin"/>
      </w:r>
      <w:r>
        <w:rPr/>
        <w:instrText> HYPERLINK "https://zakupki.gov.ru/epz/order/notice/ok20/view/common-info.html?regNumber=0121200004724001135"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0121200004724001135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«Выполнение комплекса работ по инженерным изысканиям, разработке проектной документации, строительству и вводу в эксплуатацию объекта капитального строительства «Блочно-модульная котельная мощность 26,5 МВт, г. Нефтекумск».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жалобы не согласен с действиями заказчика в части направления проекта контракта на подписание ООО «Строительно-Монтажная-Компания «Жилье», а именно данные действия заказчиком были совершены с нарушением требованиям Закона №44-ФЗ.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25.09.2024 г. с вызовом сторон по делу.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г. комиссия, выслушав пояснения заказчика, заявителя,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19.08.2024 г. уполномоченным органом, согласно порядка взаимодействия с заказчиком в ЕИС было размещено извещение о проведении </w:t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открытого аукциона в электронной форме </w:t>
      </w:r>
      <w:r>
        <w:fldChar w:fldCharType="begin"/>
      </w:r>
      <w:r>
        <w:rPr/>
        <w:instrText> HYPERLINK "https://zakupki.gov.ru/epz/order/notice/ea20/view/common-info.html?regNumber=0121600013924000120" </w:instrText>
      </w:r>
      <w:r>
        <w:fldChar w:fldCharType="separate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fldChar w:fldCharType="end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0121200004724001135 «Выполнение комплекса работ по инженерным изысканиям, разработке проектной документации, строительству и вводу в эксплуатацию объекта капитального строительства «Блочно-модульная котельная мощность 26,5 МВт, г. Нефтекумск».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НМКЦ 176 352 761,76 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fldChar w:fldCharType="begin"/>
      </w:r>
      <w:r>
        <w:rPr/>
        <w:instrText> HYPERLINK "https://zakupki.gov.ru/epz/order/notice/ok20/view/protocol/protocol-main-info.html?regNumber=0121200004724001135&amp;protocolId=46171011" </w:instrText>
      </w:r>
      <w:r>
        <w:fldChar w:fldCharType="separate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Протоколом подведения итогов определения поставщика</w:t>
      </w:r>
      <w:r>
        <w:fldChar w:fldCharType="end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"https://zakupki.gov.ru/epz/order/notice/ok20/view/protocol/protocol-main-info.html?regNumber=0121200004724001135&amp;protocolId=46171011" </w:instrText>
      </w:r>
      <w:r>
        <w:fldChar w:fldCharType="separate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(подрядчика, исполнителя) от 06.09.2024 №ИЭОК1 </w:t>
      </w:r>
      <w:r>
        <w:fldChar w:fldCharType="end"/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ООО СМК «Жилье» признано победителем с предложением о цене контракта 156 953 957, 00 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2 ст. 51 Закона №44-ФЗ не позднее двух рабочих дней, следующих за днем размещения в единой информационной системе протоколов, указанных в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 исполнение указанных требований, 29.07.2024 г. Заказчиком был размещен в ЕИС проект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51 Закона № 44-ФЗ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 При этом такой участник закупки: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случаях, предусмотренных статьей 37 настоящего Федерального закона, одновременно представляет заказчику информацию и документы, предусмотренные указанной статьей;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1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заключить контракт, содержащий условия, предусмотренные пунктом 2 части 2 настоящей статьи;</w:t>
      </w:r>
    </w:p>
    <w:p>
      <w:pPr>
        <w:pStyle w:val="Style1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1 части 17.2 статьи 95 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 8.1 ст. 96 Закона №44-ФЗ участник закупки, с которым заключается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контракт по результатам определения поставщика (подрядчика, исполнителя)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части 1 статьи 30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освобождается от предоставления обеспечения исполнения контракта, в том числе с учетом положений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37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от обеспечения гарантийных обязательств в случае предоставления таким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было установлено, что Заказчиком 10.09.2024 г. в соответствии с ч. 2 ст. 51 Закона №44-ФЗ размещен в ЕИС проект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состоянию на 18.09.2024 г.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ООО СМК «Жилье» в сроки, установленные ч.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3 ст. 51 Закона №44-ФЗ размещен на электронной площадке подписанный со своей стороны проект контракта и независимая гарантия № 42265-24-10 от 17.09.2024 на сумму 38 779 972, 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 рассчитал размер обеспечения исполнения настоящего контракта как 30 % от НМЦК, а именно 52 905 828, 53 руб.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несоответствием суммы независимой гарантии, представленной в качестве обеспечения исполнения контракта, на основании ч. 6 ст. 51 Закона №44- ФЗ заказчик признал ООО СМК «Жилье» уклонившимся от заключения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позиции сторон, комиссия пришла к следующим выводам: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3 ч. 6 ст. 96 Закона №44-ФЗ установлено, что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закупки, документации о закупке, проекте контракта, приглашении в размере от одной второй процента до тридцати процентов начальной (максимальной) цены контракта, за исключением случаев, предусмотренных частями 6.1 - 6.2-1 настоящей статьи. При этом, если: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законодательством Российской Федерации расчеты по контракту в части выплаты аванса подлежат казначейскому сопровождению, размер обеспечения исполнения контракта устанавливается заказчиком от начальной (максимальной) цены контракта (от цены контракта в случае, предусмотренном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6.2 настоящей статьи при заключении контракта по результатам определения поставщиков (подрядчиков, исполнителей) в соответствии с пунктом 1 части 1 статьи 30 настоящего Федерального закона), </w:t>
      </w:r>
      <w:r>
        <w:rPr>
          <w:b/>
          <w:bCs/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уменьшенной на размер такого аванса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в Письме Министерства Финансов Российской Федерации от 19 августа 2024 г. М 24-06-06/77541(Приложение № 1) указано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leader="dot" w:pos="1503" w:val="left"/>
        </w:tabs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  <w:tab/>
        <w:t xml:space="preserve"> Таким образом, в случае, если расчеты по контракту в части выплаты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аванса подлежат казначейскому сопровождению, обеспечение исполнения контракта устанавливается заказчиком в размере от 0,5 процента до 30 процентов от НМЦК, уменьшенной на размер такого аванса, а в случае заключения контракта по результатам определения поставщика (подрядчика, исполнителя) в соответствии с пунктом 1 части 1 статьи 30 Закона К 44-ФЗ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цены контракта, уменьшенной на размер такого аванса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Закупка </w:t>
      </w:r>
      <w:r>
        <w:fldChar w:fldCharType="begin"/>
      </w:r>
      <w:r>
        <w:rPr/>
        <w:instrText> HYPERLINK "https://zakupki.gov.ru/epz/order/notice/ea20/view/common-info.html?regNumber=0121600013924000120" </w:instrText>
      </w:r>
      <w:r>
        <w:fldChar w:fldCharType="separate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fldChar w:fldCharType="end"/>
      </w:r>
      <w:r>
        <w:rPr>
          <w:color w:val="07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0121200004724001135 «Выполнение комплекса работ по инженерным изысканиям, разработке проектной документации, строительству и вводу в эксплуатацию объекта капитального строительства «Блочно-модульная котельная мощность 26,5 МВт, г. Нефтекумск»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осуществлена заказчиком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нарушением требования п. 3 ч. 6 ст. 96 Закона №44-ФЗ.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№ 0121200004724001153 (Приложение № 2) указано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аванса % 30,00.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обеспечения исполнения контракта 30 %.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банковском и (или) казначейском сопровождении контракта - Требуется казначейское сопровождение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Тип казначейского сопровождения контракта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Расчеты по контракту в части выплаты аванса подлежат казначейскому сопровождению.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предоставления обеспечения исполнения контракта, требования к обеспечению: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предоставления обеспечения исполнения контракта, требования к такому обеспечению установлены в соответствии со статьей 96 Федерального закона № 44-ФЗ и условиями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Т.е. в извещении содержится ссылка на ст. 96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независимая гарантия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СМК «Жилье»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№42265-24-10, которая предусматривает особый порядок расчетов суммы обеспечения исполнения контракта в случае выплаты аванса, подлежащего казначейскому сопровождению ( п. 3 ч. 6 ст. 96 Закона №44-ФЗ) - соответствует требованиям закупки № 0121200004724001135.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цена 176 352 761,76 ₽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аванса, % 30,00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обеспечения исполнения контракта 30 %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176 352 761,76 - 30% = 123 446 933,232 * 0,3 = 37 034 079,9696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Итого: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обеспечения исполнения контракта 37 034 079,97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Сумма указанной независимой гарантии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СМК «Жилье»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составила 38 779 972,60, что соответствует требованиям ст. 96 Закона №44-ФЗ.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Закона 44-ФЗ: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контракт...».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10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размер аванса (если предусмотрена выплата аванса).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18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казначейском сопровождении (если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статьей 242.25 Бюджетного кодекса Российской Федерации (далее - БК РФ) казначейскому сопровождению подлежат определенные Федеральным законом от 05.12.2022 К 466-ФЗ "О федеральном бюджете на 2023 год и на плановый период 2024 и 2025 годов" (далее - Закон о федеральном бюджете) средства, получаемые на основании государственных контрактов, договоров (соглашений), контрактов (договоров).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пунктом 4 части 2 статьи 5 Закона о федеральном бюджете установлено, что в соответствии со статьей 242.25 БК РФ казначейскому сопровождению подлежат авансовые платежи по государственным контрактам о поставке товаров, выполнении работ, оказании услуг (за исключением государственных контрактов, заключаемых в целях реализации государственного оборонного заказа), заключаемым на сумму 100 000 рублей и более.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в соответствии с пунктом 3.3 проекта государственного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контракта: «3.3. По настоящему контракту предусмотрено авансирование. Размер аванса по каждому отдельному этапу исполнения контракта составляет 30% от стоимости соответствующего этапа. Выплата авансового платежа по первому этапу производится после начала наступления отдельного этапа исполнения контракта в срок не более 7 (семи) рабочих дней со дня получения Заказчиком уведомления о начале работ по первому этапу, на основании счета (счет-фактуры) на выплату авансового платежа от Подрядчика. Выплата авансового платежа по последующим этапам производится после начала наступления отдельного этапа исполнения контракта в срок не более 7 (семи) рабочих дней со дня получения Заказчиком уведомления о начале работ по соответствующему этапу, но не ранее даты подписания Сторонами акта о приемке выполненных работ по первому этапу.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же п. 3.12.1. Подрядчик (Субподрядчик) контракта предоставляет в Федеральное казначейство документы, предусмотренные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сопровождения, утвержденных приказом Министерства финансов Российской Федерации от 17.12.2021 № 214н (далее - Порядок санкционирования).»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этого следует что проект контракта содержит информацию о авансе и казначейском сопровождении, таким образом, расчет суммы обеспечения проводится с учетом п. 3 ч. 6 ст. 96 Закона № 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допущены нарушения п. 3 ч. 6 ст. 96 Закона №44-ФЗ.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104 Закона № 44-ФЗ в реестр недобросовестных поставщиков включается информация об участниках закупок, уклонившихся от заключения контрактов, а также о поставщиках (подрядчиках, исполнителях), не исполнивших или ненадлежащим образом исполнивших обязательства, предусмотренные контрактами.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СМК «Жилье»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может считаться уклонившимся от заключения контракта, поскольку </w:t>
      </w:r>
      <w:r>
        <w:rPr>
          <w:color w:val="0A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СМК «Жилье»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были осуществлены действия, а именно подписан контракт и оформлена банковская гарантия № 42265</w:t>
        <w:softHyphen/>
        <w:t>24-10 о 17.09.2024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доводы заявителя обоснованны.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заказчика установлены нарушения требований п. 3 ч. 6 ст. 96 Закона №44-ФЗ.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«Строительно-Монтажная-Компания «Жилье» на действия заказчика — ГУП СК «Ставропольский краевой теплоэнергитический комплекс», уполномоченного органа — Комитета Ставропольского края по государственным закупкам по факту осуществления закупки путем проведения открытого конкурса в электронной форме №</w:t>
      </w:r>
      <w:r>
        <w:fldChar w:fldCharType="begin"/>
      </w:r>
      <w:r>
        <w:rPr/>
        <w:instrText> HYPERLINK "https://zakupki.gov.ru/epz/order/notice/ok20/view/common-info.html?regNumber=0121200004724001135"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0121200004724001135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«Выполнение комплекса работ по инженерным изысканиям, разработке проектной документации, строительству и вводу в эксплуатацию объекта капитального строительства «Блочно-модульная котельная мощность 26,5 МВт, г. Нефтекумск» - 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По результатам проведения в порядке статьи 99 Закона № 44-ФЗ внеплановой проверки признать действия заказчика - ГУП СК «Ставропольский краевой теплоэнергитический комплекс» нарушившими ст. 34, 42, ст. 96 Закона №44-ФЗ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, в связи с тем, что ранее было выдано предписание № 384 по делу № 026/10/104-2317/2024 обязательное для исполнения предписание — не выдавать.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" w:right="539" w:bottom="1180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28600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9.pt;width:144.pt;height:19.449999999999999pt;z-index:-125829373;mso-wrap-distance-left:0;mso-wrap-distance-top:9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6350" distL="0" distR="1786255" simplePos="0" relativeHeight="125829382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187325</wp:posOffset>
            </wp:positionV>
            <wp:extent cx="347345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21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4490" distB="0" distL="0" distR="0" simplePos="0" relativeHeight="125829383" behindDoc="0" locked="0" layoutInCell="1" allowOverlap="1">
                <wp:simplePos x="0" y="0"/>
                <wp:positionH relativeFrom="page">
                  <wp:posOffset>6222365</wp:posOffset>
                </wp:positionH>
                <wp:positionV relativeFrom="paragraph">
                  <wp:posOffset>364490</wp:posOffset>
                </wp:positionV>
                <wp:extent cx="969010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9.94999999999999pt;margin-top:28.699999999999999pt;width:76.299999999999997pt;height:17.75pt;z-index:-125829370;mso-wrap-distance-left:0;mso-wrap-distance-top:28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1C1C1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Пызина Наталья Геннадьевна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00ВС6ВЕЕЕ)ЕС50Е60775С5ЕАО83Е9338О6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‘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1C1C1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08.09.2023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01.12.2024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6" w:right="536" w:bottom="11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635" distL="0" distR="0" simplePos="0" relativeHeight="125829385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161290</wp:posOffset>
                </wp:positionV>
                <wp:extent cx="1722120" cy="2559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5000000000001pt;margin-top:12.700000000000001pt;width:135.59999999999999pt;height:20.150000000000002pt;z-index:-125829368;mso-wrap-distance-left:0;mso-wrap-distance-top:12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7" behindDoc="0" locked="0" layoutInCell="1" allowOverlap="1">
                <wp:simplePos x="0" y="0"/>
                <wp:positionH relativeFrom="page">
                  <wp:posOffset>6113145</wp:posOffset>
                </wp:positionH>
                <wp:positionV relativeFrom="paragraph">
                  <wp:posOffset>0</wp:posOffset>
                </wp:positionV>
                <wp:extent cx="107315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1.35000000000002pt;margin-top:0;width:84.5pt;height:19.699999999999999pt;z-index:-125829366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00ВЕ2ОЗЕС52Е1СА63А577ОЕСАВ4ЮЗЕ72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07.02.2024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02.05.2025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3365" distB="0" distL="0" distR="0" simplePos="0" relativeHeight="125829389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253365</wp:posOffset>
                </wp:positionV>
                <wp:extent cx="1722120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9.949999999999999pt;width:135.59999999999999pt;height:20.150000000000002pt;z-index:-125829364;mso-wrap-distance-left:0;mso-wrap-distance-top:19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91" behindDoc="0" locked="0" layoutInCell="1" allowOverlap="1">
                <wp:simplePos x="0" y="0"/>
                <wp:positionH relativeFrom="page">
                  <wp:posOffset>5826125</wp:posOffset>
                </wp:positionH>
                <wp:positionV relativeFrom="paragraph">
                  <wp:posOffset>88900</wp:posOffset>
                </wp:positionV>
                <wp:extent cx="135953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В.Р. Калиниченко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8.75pt;margin-top:7.pt;width:107.05pt;height:19.900000000000002pt;z-index:-125829362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В.Р. Калиниченко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7373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7373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7373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17.06.2024 </w:t>
      </w:r>
      <w:r>
        <w:rPr>
          <w:rFonts w:ascii="Arial" w:eastAsia="Arial" w:hAnsi="Arial" w:cs="Arial"/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10.09.2025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Исп.Карпель Б.Ш.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6" w:right="536" w:bottom="119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2024-14372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2024-14372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2024-14372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2024-14372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A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2"/>
      <w:szCs w:val="1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2"/>
      <w:szCs w:val="1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