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862330" distL="114300" distR="132715" simplePos="0" relativeHeight="125829379" behindDoc="0" locked="0" layoutInCell="1" allowOverlap="1">
                <wp:simplePos x="0" y="0"/>
                <wp:positionH relativeFrom="page">
                  <wp:posOffset>724535</wp:posOffset>
                </wp:positionH>
                <wp:positionV relativeFrom="paragraph">
                  <wp:posOffset>728980</wp:posOffset>
                </wp:positionV>
                <wp:extent cx="2578735" cy="1682750"/>
                <wp:wrapSquare wrapText="right"/>
                <wp:docPr id="3" name="Shape 3"/>
                <a:graphic xmlns:a="http://schemas.openxmlformats.org/drawingml/2006/main">
                  <a:graphicData uri="http://schemas.microsoft.com/office/word/2010/wordprocessingShape">
                    <wps:wsp>
                      <wps:cNvSpPr txBox="1"/>
                      <wps:spPr>
                        <a:xfrm>
                          <a:ext cx="2578735" cy="1682750"/>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 3005/24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050000000000004pt;margin-top:57.399999999999999pt;width:203.05000000000001pt;height:132.5pt;z-index:-125829374;mso-wrap-distance-left:9.pt;mso-wrap-distance-top:56.399999999999999pt;mso-wrap-distance-right:10.450000000000001pt;mso-wrap-distance-bottom:67.900000000000006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07.10.2024</w:t>
                      </w:r>
                      <w:r>
                        <w:fldChar w:fldCharType="end"/>
                      </w:r>
                      <w:r>
                        <w:rPr>
                          <w:color w:val="000000"/>
                          <w:spacing w:val="0"/>
                          <w:w w:val="100"/>
                          <w:position w:val="0"/>
                          <w:shd w:val="clear" w:color="auto" w:fill="auto"/>
                          <w:lang w:val="ru-RU" w:eastAsia="ru-RU" w:bidi="ru-RU"/>
                        </w:rPr>
                        <w:tab/>
                        <w:t>№ 3005/24</w:t>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727710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724535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050000000000004pt;margin-top:209.30000000000001pt;width:203.05000000000001pt;height:10.3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Федеральное государственное бюджетное учреждение «Национальный медицинский исследовательский центр травматологии и ортопедии имени академика Г.А.</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Илизарова» Министерства здравоохранения Российской Федерации 640014, Курганская область, г. Курган, ул.</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М. Ульяновой, д. 6</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т1§-тсИ:о@таП.ги; ой!се@тсИ:о.ги;</w:t>
      </w:r>
    </w:p>
    <w:p>
      <w:pPr>
        <w:pStyle w:val="Style9"/>
        <w:keepNext w:val="0"/>
        <w:keepLines w:val="0"/>
        <w:widowControl w:val="0"/>
        <w:shd w:val="clear" w:color="auto" w:fill="auto"/>
        <w:bidi w:val="0"/>
        <w:spacing w:before="0" w:after="260" w:line="240" w:lineRule="auto"/>
        <w:ind w:left="1020" w:right="0" w:firstLine="0"/>
        <w:jc w:val="left"/>
      </w:pPr>
      <w:r>
        <w:rPr>
          <w:color w:val="000000"/>
          <w:spacing w:val="0"/>
          <w:w w:val="100"/>
          <w:position w:val="0"/>
          <w:shd w:val="clear" w:color="auto" w:fill="auto"/>
          <w:lang w:val="ru-RU" w:eastAsia="ru-RU" w:bidi="ru-RU"/>
        </w:rPr>
        <w:t>ой1се@Ш2агоуги</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ОБЩЕСТВО С ОГРАНИЧЕННОЙ ОТВЕТСТВЕННОСТЬЮ "МЕДПРОЕКТ- ЗАУРАЛЬЕ"</w:t>
      </w:r>
    </w:p>
    <w:p>
      <w:pPr>
        <w:pStyle w:val="Style9"/>
        <w:keepNext w:val="0"/>
        <w:keepLines w:val="0"/>
        <w:widowControl w:val="0"/>
        <w:shd w:val="clear" w:color="auto" w:fill="auto"/>
        <w:bidi w:val="0"/>
        <w:spacing w:before="0" w:after="0" w:line="240" w:lineRule="auto"/>
        <w:ind w:left="5320" w:right="0" w:hanging="4300"/>
        <w:jc w:val="left"/>
      </w:pPr>
      <w:r>
        <w:rPr>
          <w:color w:val="000000"/>
          <w:spacing w:val="0"/>
          <w:w w:val="100"/>
          <w:position w:val="0"/>
          <w:shd w:val="clear" w:color="auto" w:fill="auto"/>
          <w:lang w:val="ru-RU" w:eastAsia="ru-RU" w:bidi="ru-RU"/>
        </w:rPr>
        <w:t>640008, КУРГАНСКАЯ ОБЛАСТЬ, Г КУРГАН, УЛ АВТОЗАВОДСКАЯ, Д. 5, ОФИС 6Б</w:t>
      </w:r>
    </w:p>
    <w:p>
      <w:pPr>
        <w:pStyle w:val="Style9"/>
        <w:keepNext w:val="0"/>
        <w:keepLines w:val="0"/>
        <w:widowControl w:val="0"/>
        <w:shd w:val="clear" w:color="auto" w:fill="auto"/>
        <w:bidi w:val="0"/>
        <w:spacing w:before="0" w:after="560" w:line="240" w:lineRule="auto"/>
        <w:ind w:left="6100" w:right="0" w:firstLine="0"/>
        <w:jc w:val="left"/>
      </w:pPr>
      <w:r>
        <w:rPr>
          <w:color w:val="000000"/>
          <w:spacing w:val="0"/>
          <w:w w:val="100"/>
          <w:position w:val="0"/>
          <w:shd w:val="clear" w:color="auto" w:fill="auto"/>
          <w:lang w:val="ru-RU" w:eastAsia="ru-RU" w:bidi="ru-RU"/>
        </w:rPr>
        <w:t>хаках@трхи.ги</w:t>
      </w:r>
    </w:p>
    <w:p>
      <w:pPr>
        <w:pStyle w:val="Style9"/>
        <w:keepNext w:val="0"/>
        <w:keepLines w:val="0"/>
        <w:widowControl w:val="0"/>
        <w:shd w:val="clear" w:color="auto" w:fill="auto"/>
        <w:bidi w:val="0"/>
        <w:spacing w:before="0" w:after="260" w:line="240" w:lineRule="auto"/>
        <w:ind w:left="2800" w:right="1260" w:hanging="1420"/>
        <w:jc w:val="left"/>
      </w:pPr>
      <w:r>
        <w:rPr>
          <w:b/>
          <w:bCs/>
          <w:color w:val="000000"/>
          <w:spacing w:val="0"/>
          <w:w w:val="100"/>
          <w:position w:val="0"/>
          <w:shd w:val="clear" w:color="auto" w:fill="auto"/>
          <w:lang w:val="ru-RU" w:eastAsia="ru-RU" w:bidi="ru-RU"/>
        </w:rPr>
        <w:t>Решение по делу о нарушении законодательства о контрактной системе в сфере закупок № 045/06/33-527/2024</w:t>
      </w:r>
    </w:p>
    <w:p>
      <w:pPr>
        <w:pStyle w:val="Style9"/>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6490970</wp:posOffset>
                </wp:positionH>
                <wp:positionV relativeFrom="paragraph">
                  <wp:posOffset>12700</wp:posOffset>
                </wp:positionV>
                <wp:extent cx="658495" cy="231775"/>
                <wp:wrapSquare wrapText="left"/>
                <wp:docPr id="9" name="Shape 9"/>
                <a:graphic xmlns:a="http://schemas.openxmlformats.org/drawingml/2006/main">
                  <a:graphicData uri="http://schemas.microsoft.com/office/word/2010/wordprocessingShape">
                    <wps:wsp>
                      <wps:cNvSpPr txBox="1"/>
                      <wps:spPr>
                        <a:xfrm>
                          <a:ext cx="658495" cy="2317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35" type="#_x0000_t202" style="position:absolute;margin-left:511.10000000000002pt;margin-top:1.pt;width:51.850000000000001pt;height:18.25pt;z-index:-1258293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02.10.2024 г.</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9"/>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Врио руководителя Управления Федеральной антимонопольной службы по Курганской области;</w:t>
      </w:r>
    </w:p>
    <w:p>
      <w:pPr>
        <w:pStyle w:val="Style9"/>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при участии в заседании Комиссии посредством видеоконференцсвязи представителей заказчика - Федерального государственного бюджетного учреждения «Национальный медицинский исследовательский центр травматологии и ортопедии имени академика Г.А. Илизарова» Министерства здравоохранения Российской Федерации (далее - ФГБУ «НМИЦ ТО имени академика Г.А. Илизарова» Минздрава России, Заказчик) Шибаевой М.А., действующей на основании доверенности № 47 от 03.09.2024, Храмцовой О.Н., действующей на основании доверенности № 51 от 27.09.2024, Поздеевой Г.Г., действующей на основании доверенности № 12 от 05.03.2024,</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представителя заявителя - Общества с ограниченной ответственностью «МЕДПРОЕКТ-ЗАУРАЛЬЕ» (далее - ООО «МЕДПРОЕКТ-ЗАУРАЛЬЕ», Заявитель) о времени и месте рассмотрения жалобы извещено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 30.09.2024 в Курганское УФАС России поступило ходатайство о рассмотрении жалобы в отсутствии представителя (вх. № 4327-ЭП/24 от 30.09.2024),</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«МЕДПРОЕКТ-ЗАУРАЛЬЕ» на действия ФГБУ «НМИЦ ТО имени академика Г.А. Илизарова» Минздрава России при осуществлении закупки путем проведения электронного аукциона на поставку системы рентгеновской диагностической передвижной общего назначения, цифровой (извещение № 0343100000724001102), и проведя внеплановую проверку,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Положением.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w:t>
      </w:r>
      <w:r>
        <w:rPr>
          <w:color w:val="000000"/>
          <w:spacing w:val="0"/>
          <w:w w:val="100"/>
          <w:position w:val="0"/>
          <w:shd w:val="clear" w:color="auto" w:fill="auto"/>
          <w:lang w:val="ru-RU" w:eastAsia="ru-RU" w:bidi="ru-RU"/>
        </w:rPr>
        <w:t>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26.09.2024 в адрес Курганского УФАС России поступила жалоба ООО «МЕДПРОЕКТ-ЗАУРАЛЬЕ» (вх. № 4258/24) на действия заказчика - ФГБУ «НМИЦ ТО имени академика Г.А. Илизарова» Минздрава России при осуществлении закупки путем проведения электронного аукциона на поставку системы рентгеновской диагностической передвижной общего назначения, цифровой (извещение № 0343100000724001102).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указывает, что извещение о проведении электронного аукциона составлено с нарушениями требований Закона о контрактной системе,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 145),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электронного аукциона № 0343100000724001102 необоснованно установлены требования к характеристикам товара, которые не соответствуют позициям каталога товаров, работ, услуг для обеспечения государственных и муниципальных нужд (далее - КТРУ), в извещении и описании объекта закупки не установлена ссылка на позицию КТРУ, которой соответствует закупаемый товар.</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электронного аукциона № 0343100000724001102 закупке подлежат Аппараты рентгенографические, код позиции ОКПД2 - 26.60.11.113.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такое размещение закупки не соответствует требованиям действующего законодательства.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закупке указан код ОКПД2 26.60.11.113, следовательно, закупаемое медицинское изделие под этим кодом подпадают под ограничения в соответствии с Постановлением Правительства РФ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в Каталоге товаров, работ, услуг присутствуют обязательные для применения позиции 26.60.11.113-00000114 - 26.60.11.113-00000116, указанные позиции на вкладке «Описание товара, работы, услуги» содержат перечень характеристик товара.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приостановить размещение государственного заказа (Извещение № 0343100000724001102) в соответствии с частью 7 статьи 106 Закона о контрактной системе до рассмотрения жалобы по существу; провести внеплановую проверку действий Заказчика; обязать Заказчика устранить нарушения действующего законодательства путем внесения изменений в извещение.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с доводом жалобы не согласились, считают жалобу необоснованной, по основаниям, изложенным в письменных возражениях, которые приобщены к материалам дела.</w:t>
      </w:r>
    </w:p>
    <w:p>
      <w:pPr>
        <w:pStyle w:val="Style9"/>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Руководствуясь статьями 99, 106 Закона о контрактной системе, Комиссией Курганского УФАС России проведена внеплановая проверка, в результате которой установлено, </w:t>
      </w:r>
      <w:r>
        <w:rPr>
          <w:color w:val="000000"/>
          <w:spacing w:val="0"/>
          <w:w w:val="100"/>
          <w:position w:val="0"/>
          <w:shd w:val="clear" w:color="auto" w:fill="auto"/>
          <w:lang w:val="ru-RU" w:eastAsia="ru-RU" w:bidi="ru-RU"/>
        </w:rPr>
        <w:t>что 20.09.2024 на официальном сайте ЕИС в сети Интернет Заказчиком опубликовано извещение № 0343100000724001102 об осуществлении закупки путем проведения электронного аукциона на поставку системы рентгеновской диагностической передвижной общего назначения, цифровой.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16 900 000,00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30.09.2024 09:00 (МСК+2).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- 01.10.2024.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01.10.2024 в 16:13 (МСК+2) в извещении размещен Протокол подведения итогов электронного аукциона № 0343100000724001102, согласно которому по окончании срока подачи заявок на участие в закупке подано 2 заявки, 1 из которых признана комиссией по осуществлению закупок не соответствующей требованиям извещения.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w:t>
      </w:r>
      <w:r>
        <w:rPr>
          <w:color w:val="000000"/>
          <w:spacing w:val="0"/>
          <w:w w:val="100"/>
          <w:position w:val="0"/>
          <w:shd w:val="clear" w:color="auto" w:fill="auto"/>
          <w:lang w:val="ru-RU" w:eastAsia="ru-RU" w:bidi="ru-RU"/>
        </w:rPr>
        <w:t>сфере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статьи, обеспечиваются, в частности, путем ее размещения в единой информационной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9"/>
        <w:keepNext w:val="0"/>
        <w:keepLines w:val="0"/>
        <w:widowControl w:val="0"/>
        <w:numPr>
          <w:ilvl w:val="0"/>
          <w:numId w:val="1"/>
        </w:numPr>
        <w:shd w:val="clear" w:color="auto" w:fill="auto"/>
        <w:tabs>
          <w:tab w:pos="10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9"/>
        <w:keepNext w:val="0"/>
        <w:keepLines w:val="0"/>
        <w:widowControl w:val="0"/>
        <w:numPr>
          <w:ilvl w:val="0"/>
          <w:numId w:val="1"/>
        </w:numPr>
        <w:shd w:val="clear" w:color="auto" w:fill="auto"/>
        <w:tabs>
          <w:tab w:pos="104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закрытый аукцион, закрытый аукцион в электронной форме;</w:t>
      </w:r>
    </w:p>
    <w:p>
      <w:pPr>
        <w:pStyle w:val="Style9"/>
        <w:keepNext w:val="0"/>
        <w:keepLines w:val="0"/>
        <w:widowControl w:val="0"/>
        <w:numPr>
          <w:ilvl w:val="0"/>
          <w:numId w:val="1"/>
        </w:numPr>
        <w:shd w:val="clear" w:color="auto" w:fill="auto"/>
        <w:tabs>
          <w:tab w:pos="104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49 Закона о контрактной системе указано, что электронный аукцион начинается с размещения в единой информационной системе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Заказчик в случаях, предусмотренных Законом, при описании объекта закупки должен руководствоваться следующими правилами: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0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Заказчики вправе самостоятельно принимать решение о способе закупке, с предоставленным правом формирования объекта, определять содержание предмета контракта, предъявлять к нему требования в соответствии с собственными потребностями с учетом ограничений, установленных статьей 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контрольного органа в сфере закупок установлено, что Заказчиком при описании объекта закупки применен код ОКПД2 26.60.11.113.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4 Правил № 145 установлено, что Заказчики обязаны применять информацию, включенную в позицию каталога с указанной в ней даты начала обязательного применения.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7 Правил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пояснений представителя ФГБУ «НМИЦ ТО имени академика Г.А. Илизарова» Минздрава России позиции КТРУ, перечисленные в жалобе ООО «МЕДПРОЕКТ-ЗАУРАЛЬЕ» не отвечают потребностям Заказчика.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заседания Комиссии представителями Заказчика были даны пояснения, согласно которым в соответствии с пунктом 2.3 Устава ФГБУ «НМИЦ ТО имени академика Г.А. Илизарова» Минздрава России для достижения основных целей, предусмотренных в Уставе, может осуществлять по договорам, контрактам с юридическими и физическими лицами, в том числе заключенным в рамках реализации федеральных, отраслевых, региональных, ведомственных программ, на возмездной основе следующие виды приносящей доход деятельности:</w:t>
      </w:r>
    </w:p>
    <w:p>
      <w:pPr>
        <w:pStyle w:val="Style9"/>
        <w:keepNext w:val="0"/>
        <w:keepLines w:val="0"/>
        <w:widowControl w:val="0"/>
        <w:numPr>
          <w:ilvl w:val="0"/>
          <w:numId w:val="5"/>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научную (научно-исследовательскую), научно-техническую деятельность и экспериментальные разработки сверх тематических планов научных исследований, утвержденных в установленном порядке Министерством;</w:t>
      </w:r>
    </w:p>
    <w:p>
      <w:pPr>
        <w:pStyle w:val="Style9"/>
        <w:keepNext w:val="0"/>
        <w:keepLines w:val="0"/>
        <w:widowControl w:val="0"/>
        <w:numPr>
          <w:ilvl w:val="0"/>
          <w:numId w:val="5"/>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ветеринарную деятельность, в том числе содержание, разведение и подготовка лабораторных животных для медико-биологических исследований, за счет средств, полученных от приносящей доход деятельности.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3.1 Устава в целях обеспечения уставной деятельности за Учреждением закрепляется на праве оперативного управления федеральное имущество. Учреждение вправе приобретать за счет средств от приносящей доход деятельности имущество в порядке, установленном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проанализировано 3 действующих позиции КТРУ по наименованию «Система рентгеновская диагностическая передвижная общего назначения, цифровая», а именно: 26.60.11.113-00000114; 26.60.11.113-00000115; 26.60.11.113-00000116.</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анализа установлено, что указанные позиции КТРУ не отражают потребности Заказчика по таким характеристикам как: Тип штатива; Вращение колонны излучателя, градусы; Габариты аппарата в транспортном СОСТОЯНИЙ (В х Ш х Д), мм; Максимальная скорость моторизованного перемещения аппарата, км/ч; Квантовая эффективность регистрации детектора ([МЭЕ), % при 0.05 пар линий/мм; Преодолеваемый уклон, градусов (отсутствуют в КТРУ).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пояснили представители Заказчика, все вышеперечисленные характеристики являются значимыми для ФГБУ «НМИЦ ТО имени академика Г.А. Илизарова» Минздрава России, поскольку закупаемое медицинское оборудование планируется использовать не только в лечебной деятельности, но еще более оно необходимо Заказчику для выполнения научно-исследовательской работы.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ФГБУ «НМИЦ ТО имени академика Г.А. Илизарова» Минздрава России на период 2024-2026 годов запланированы и утверждены темы НИР (научно-исследовательских работ) (госзадания), размещенные на сайте: Ьир8://е18паика.ги. которыми в обязательном порядке применяются рентгенологические исследования, участие в качестве соисполнителя по гранту МП 1К-[)МГ(2023) (Оценка безопасности и эффективности новых сплавов при биологическом тестировании в системах т </w:t>
      </w:r>
      <w:r>
        <w:rPr>
          <w:smallCaps/>
          <w:color w:val="000000"/>
          <w:spacing w:val="0"/>
          <w:w w:val="100"/>
          <w:position w:val="0"/>
          <w:shd w:val="clear" w:color="auto" w:fill="auto"/>
          <w:lang w:val="ru-RU" w:eastAsia="ru-RU" w:bidi="ru-RU"/>
        </w:rPr>
        <w:t>уко</w:t>
      </w:r>
      <w:r>
        <w:rPr>
          <w:color w:val="000000"/>
          <w:spacing w:val="0"/>
          <w:w w:val="100"/>
          <w:position w:val="0"/>
          <w:shd w:val="clear" w:color="auto" w:fill="auto"/>
          <w:lang w:val="ru-RU" w:eastAsia="ru-RU" w:bidi="ru-RU"/>
        </w:rPr>
        <w:t xml:space="preserve"> на животных для возможности дальнейшего использования при изготовлении медицинских изделий).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базе здания Вивария ФГБУ «НМИЦ ТО имени академика Г.А. Илизарова» Минздрава России организована и размещена экспериментальная лаборатория, в помещениях № 66 (14,0 кв. м.), № 67 (15,2 кв. м.) размещены операционные для проведения оперативных вмешательств.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представили пояснения по характеристикам оборудования, которые считают наиболее важными.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Вращение колонны излучателя позволяет обследовать пациентов (крупные и мелкие животные). В свою очередь недостаточный диапазон вращения колонны ограничивает использование аппарата для сканирования пациентов (крупные и мелкие животные) в условиях ограниченного пространства.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Такая характеристика как Габариты аппарата в транспортном состоянии (В х Ш х Д), мм и ее значение: не более 1400 х 560 х 1260 предусмотрены Заказчиком для беспрепятственного перемещения рентгенологического оборудования между операционными блоками в рамках одной экспериментальной лаборатории в условиях ограниченного пространства.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Характеристика Вес аппарата со встроенными аккумуляторными батареями, кг: &lt; 450 нужна для свободной транспортировки системы в условиях ограниченного пространства и для снижения нагрузки на конструктивные элементы (перекрытия).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Максимальная скорость моторизованного перемещения аппарата, км/ч &gt;5 необходима для маневренности системы при перемещении в условиях ограниченного пространства, при одновременном проведении оперативных вмешательств в разных операционных, позволяет сократить время нахождения животного в наркозе, что позволяет сократить время операции на этапе «открытая рана», что в свою очередь снижает риск обсеменения раны патогенной микрофлорой и риск возникновения летального исхода.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Преодолеваемый уклон, градусов &gt;7 дает возможность транспортировки оборудования по установленным пандусам при перемещении системы из одного лечебного корпуса (экспериментальная лаборатория) в другой.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Датчик касания на бампере корпуса аппарата: Наличие - нужен для обеспечения защиты высокотехнологичного дорогостоящего оборудования от повреждений во время частой транспортировки, с целью автоматической остановки всей системы при применении </w:t>
      </w:r>
      <w:r>
        <w:rPr>
          <w:color w:val="000000"/>
          <w:spacing w:val="0"/>
          <w:w w:val="100"/>
          <w:position w:val="0"/>
          <w:shd w:val="clear" w:color="auto" w:fill="auto"/>
          <w:lang w:val="ru-RU" w:eastAsia="ru-RU" w:bidi="ru-RU"/>
        </w:rPr>
        <w:t>моторизированного перемещения аппарата.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Квантовая эффективность регистрации детектора (^^Е), % &gt;75 - квантовая эффективность регистрации детектора характеризует уровень доз, необходимых для получения изображения высокого качества. При одном и том же значении дозы качество изображения будет тем выше, чем больше квантовая эффективность, что позволяет получать более детализированные, четкие снимки, особенно необходимо при проведении рентгенологического исследования мелких животных (мыши, крысы, кролики).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по всем дополненным характеристикам оборудования, Заказчик привел четкие обоснования использования каждой конкретной характеристики, в качестве подтверждающих документов представлены сведения о размерах помещений, документы, подтверждающие научно-исследовательскую деятельность ФГБУ «НМИЦ ТО имени академика Г.А. Илизарова» Минздрава России.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пояснили Комиссии контрольного органа в сфере закупок, что в настоящее время в КТРУ нет ни одной позиции, соответствующей Системе рентгеновской диагностической передвижной, цифровой для проведения научно</w:t>
        <w:softHyphen/>
        <w:t>клинических исследований, таким образом, в рамках данной закупки приобретается медицинское изделие, в отношении которого отсутствует позиция КТРУ.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осуществил описание товара (медицинского оборудования) в соответствии с требованиями статьи 33 Закона, так как в КТРУ отсутствует соответствующая позиция, описание объекта закупки правомерно составлено в соответствии с пунктом 7 Правил № 145, исходя из собственных потребностей Заказчика согласно коду ОКПД2.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Обосновывая сформированное описание объекта закупки представитель Заказчика сослался в том числе и на соответствующую судебную практику, так в Определении Верховного суда Российской Федерации от 18.09.2023 № 310- ЭС23-16627 по делу А36- 4181/2022 указано, что поскольку в позициях КТРУ отсутствует необходимый заказчику товар, описание товара в соответствии с требованиями статьи 33 Закона, в данном случае не противоречит требованиям законодательства о контрактной системе. В то же время отсутствие в КТРУ товара с требуемой характеристикой означает отсутствие в нем соответствующей позиции, поэтому заказчик в этом случае вправе описывать объект закупки с использованием ОКПД2.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Заслушав пояснения представителей Заказчика, изучив содержание извещения рассматриваемой закупки, проанализировав содержание вышеназванных позиции КТРУ, Комиссия Курганского УФАС России приходит к выводу, что указанные Заявителем позиции КТРУ не отвечают потребностям Заказчика, приобретающего медицинское оборудование для использования в том числе с целью научно-исследовательской работы.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утверждения Заявителя о том, что не применив позицию КТРУ, Заказчик обошел ограничения, установленные Постановлением Правительства РФ № 878, Комиссия отмечает, что код ОКПД2 прописан в Перечне, утвержденном Постановлением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в извещении № 0343100000724001102 установлено ограничение допуска в соответствии с Постановлением Правительства РФ № 878, а условие допуска установлено в соответствии с приказом Министерства финансов Российской Федерации от 04.06.2018 № 126н.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жалоба Заявителя признана Комиссией Курганского УФАС России 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15 статьи 99 Закона о контрактной системе, контрольный орган в сфере закупок проводит внеплановую проверку в том числе в связи с получением обращения участника закупки с жалобой на действия (бездействие) субъектов контроля.</w:t>
      </w:r>
      <w:r>
        <w:br w:type="page"/>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Закона о контрактной системе, не установлено.</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9"/>
        <w:keepNext w:val="0"/>
        <w:keepLines w:val="0"/>
        <w:widowControl w:val="0"/>
        <w:shd w:val="clear" w:color="auto" w:fill="auto"/>
        <w:bidi w:val="0"/>
        <w:spacing w:before="0" w:after="260" w:line="240" w:lineRule="auto"/>
        <w:ind w:left="4800" w:right="0" w:firstLine="0"/>
        <w:jc w:val="both"/>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«МЕДПРОЕКТ- ЗАУРАЛЬЕ» необоснованной.</w:t>
      </w:r>
    </w:p>
    <w:p>
      <w:pPr>
        <w:pStyle w:val="Style9"/>
        <w:keepNext w:val="0"/>
        <w:keepLines w:val="0"/>
        <w:widowControl w:val="0"/>
        <w:shd w:val="clear" w:color="auto" w:fill="auto"/>
        <w:bidi w:val="0"/>
        <w:spacing w:before="0" w:after="560" w:line="240" w:lineRule="auto"/>
        <w:ind w:left="0" w:right="0" w:firstLine="720"/>
        <w:jc w:val="both"/>
      </w:pPr>
      <w:r>
        <w:rPr>
          <w:i/>
          <w:iCs/>
          <w:color w:val="000000"/>
          <w:spacing w:val="0"/>
          <w:w w:val="100"/>
          <w:position w:val="0"/>
          <w:shd w:val="clear" w:color="auto" w:fill="auto"/>
          <w:lang w:val="ru-RU" w:eastAsia="ru-RU" w:bidi="ru-RU"/>
        </w:rPr>
        <w:t>Решение может быть обжаловано в арбитражный суд в течение трех месяцев, с даты его принятия в порядке, установленном главой 24 АПК РФ.</w:t>
      </w:r>
    </w:p>
    <w:p>
      <w:pPr>
        <w:pStyle w:val="Style9"/>
        <w:keepNext w:val="0"/>
        <w:keepLines w:val="0"/>
        <w:widowControl w:val="0"/>
        <w:shd w:val="clear" w:color="auto" w:fill="auto"/>
        <w:tabs>
          <w:tab w:leader="underscore" w:pos="3913" w:val="left"/>
        </w:tabs>
        <w:bidi w:val="0"/>
        <w:spacing w:before="0" w:after="260" w:line="240" w:lineRule="auto"/>
        <w:ind w:left="1700" w:right="0" w:firstLine="0"/>
        <w:jc w:val="both"/>
      </w:pPr>
      <w:r>
        <mc:AlternateContent>
          <mc:Choice Requires="wps">
            <w:drawing>
              <wp:anchor distT="0" distB="0" distL="114300" distR="114300" simplePos="0" relativeHeight="125829384" behindDoc="0" locked="0" layoutInCell="1" allowOverlap="1">
                <wp:simplePos x="0" y="0"/>
                <wp:positionH relativeFrom="page">
                  <wp:posOffset>824865</wp:posOffset>
                </wp:positionH>
                <wp:positionV relativeFrom="paragraph">
                  <wp:posOffset>12700</wp:posOffset>
                </wp:positionV>
                <wp:extent cx="1731010" cy="612775"/>
                <wp:wrapSquare wrapText="right"/>
                <wp:docPr id="11" name="Shape 11"/>
                <a:graphic xmlns:a="http://schemas.openxmlformats.org/drawingml/2006/main">
                  <a:graphicData uri="http://schemas.microsoft.com/office/word/2010/wordprocessingShape">
                    <wps:wsp>
                      <wps:cNvSpPr txBox="1"/>
                      <wps:spPr>
                        <a:xfrm>
                          <a:ext cx="1731010" cy="612775"/>
                        </a:xfrm>
                        <a:prstGeom prst="rect"/>
                        <a:noFill/>
                      </wps:spPr>
                      <wps:txbx>
                        <w:txbxContent>
                          <w:p>
                            <w:pPr>
                              <w:pStyle w:val="Style9"/>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7" type="#_x0000_t202" style="position:absolute;margin-left:64.950000000000003pt;margin-top:1.pt;width:136.30000000000001pt;height:48.25pt;z-index:-12582936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ab/>
        <w:t>/ А.В. Иванова</w:t>
      </w:r>
    </w:p>
    <w:p>
      <w:pPr>
        <w:pStyle w:val="Style9"/>
        <w:keepNext w:val="0"/>
        <w:keepLines w:val="0"/>
        <w:widowControl w:val="0"/>
        <w:shd w:val="clear" w:color="auto" w:fill="auto"/>
        <w:tabs>
          <w:tab w:leader="underscore" w:pos="3913" w:val="left"/>
        </w:tabs>
        <w:bidi w:val="0"/>
        <w:spacing w:before="0" w:after="260" w:line="240" w:lineRule="auto"/>
        <w:ind w:left="1700" w:right="0" w:firstLine="0"/>
        <w:jc w:val="both"/>
      </w:pPr>
      <w:r>
        <w:rPr>
          <w:color w:val="000000"/>
          <w:spacing w:val="0"/>
          <w:w w:val="100"/>
          <w:position w:val="0"/>
          <w:shd w:val="clear" w:color="auto" w:fill="auto"/>
          <w:lang w:val="ru-RU" w:eastAsia="ru-RU" w:bidi="ru-RU"/>
        </w:rPr>
        <w:tab/>
        <w:t>/ М.С. Дудина</w:t>
      </w:r>
    </w:p>
    <w:p>
      <w:pPr>
        <w:pStyle w:val="Style9"/>
        <w:keepNext w:val="0"/>
        <w:keepLines w:val="0"/>
        <w:widowControl w:val="0"/>
        <w:shd w:val="clear" w:color="auto" w:fill="auto"/>
        <w:tabs>
          <w:tab w:leader="underscore" w:pos="7013" w:val="left"/>
        </w:tabs>
        <w:bidi w:val="0"/>
        <w:spacing w:before="0" w:after="260" w:line="240" w:lineRule="auto"/>
        <w:ind w:left="4800" w:right="0" w:firstLine="0"/>
        <w:jc w:val="both"/>
      </w:pPr>
      <w:r>
        <w:rPr>
          <w:color w:val="000000"/>
          <w:spacing w:val="0"/>
          <w:w w:val="100"/>
          <w:position w:val="0"/>
          <w:shd w:val="clear" w:color="auto" w:fill="auto"/>
          <w:lang w:val="ru-RU" w:eastAsia="ru-RU" w:bidi="ru-RU"/>
        </w:rPr>
        <w:tab/>
        <w:t>/ М.П. Чеботина</w:t>
      </w:r>
    </w:p>
    <w:sectPr>
      <w:footerReference w:type="default" r:id="rId9"/>
      <w:footerReference w:type="first" r:id="rId10"/>
      <w:footnotePr>
        <w:pos w:val="pageBottom"/>
        <w:numFmt w:val="decimal"/>
        <w:numRestart w:val="continuous"/>
      </w:footnotePr>
      <w:pgSz w:w="11900" w:h="16840"/>
      <w:pgMar w:top="1063" w:right="535" w:bottom="1159" w:left="1097"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10021570</wp:posOffset>
              </wp:positionV>
              <wp:extent cx="646430" cy="100330"/>
              <wp:wrapNone/>
              <wp:docPr id="13" name="Shape 1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2024-3448</w:t>
                          </w:r>
                        </w:p>
                      </w:txbxContent>
                    </wps:txbx>
                    <wps:bodyPr wrap="none" lIns="0" tIns="0" rIns="0" bIns="0">
                      <a:spAutoFit/>
                    </wps:bodyPr>
                  </wps:wsp>
                </a:graphicData>
              </a:graphic>
            </wp:anchor>
          </w:drawing>
        </mc:Choice>
        <mc:Fallback>
          <w:pict>
            <v:shape id="_x0000_s1039" type="#_x0000_t202" style="position:absolute;margin-left:56.899999999999999pt;margin-top:789.10000000000002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10021570</wp:posOffset>
              </wp:positionV>
              <wp:extent cx="646430" cy="100330"/>
              <wp:wrapNone/>
              <wp:docPr id="15" name="Shape 1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2024-3448</w:t>
                          </w:r>
                        </w:p>
                      </w:txbxContent>
                    </wps:txbx>
                    <wps:bodyPr wrap="none" lIns="0" tIns="0" rIns="0" bIns="0">
                      <a:spAutoFit/>
                    </wps:bodyPr>
                  </wps:wsp>
                </a:graphicData>
              </a:graphic>
            </wp:anchor>
          </w:drawing>
        </mc:Choice>
        <mc:Fallback>
          <w:pict>
            <v:shape id="_x0000_s1041" type="#_x0000_t202" style="position:absolute;margin-left:57.050000000000004pt;margin-top:789.10000000000002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30"/>
      <w:szCs w:val="30"/>
      <w:u w:val="singl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76199"/>
      <w:sz w:val="18"/>
      <w:szCs w:val="18"/>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7">
    <w:name w:val="Подпись к картинке"/>
    <w:basedOn w:val="Normal"/>
    <w:link w:val="CharStyle8"/>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76199"/>
      <w:sz w:val="18"/>
      <w:szCs w:val="18"/>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