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54990" cy="652145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54990" cy="652145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19" w:line="1" w:lineRule="exact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/>
        <w:ind w:left="0" w:right="0" w:firstLine="0"/>
        <w:jc w:val="center"/>
      </w:pPr>
      <w:r>
        <w:rPr>
          <w:b/>
          <w:bCs/>
          <w:color w:val="1E1C7D"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Архангельской области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К. Либкнехта, 2, г. Архангельск, 163000</w:t>
        <w:br/>
        <w:t xml:space="preserve">Тел.: (8182) 20-73-21, </w:t>
      </w:r>
      <w:r>
        <w:rPr>
          <w:color w:val="55547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факс: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(8182) 21-54-45</w:t>
        <w:br/>
        <w:t>е-таП: То29@Га5.йс^ги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Дело № 179фз-24 029/06/42-872/2024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Заказчик: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Отделение Фонда пенсионного и социального страхования Российской Федерации Архангельской области и Ненецкому автономному округу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г. Архангельск , Северной Двины наб, д. 28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20" w:line="264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оЖсе@039.рГг.§оу.ги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121151, г. Москва, набережная Тараса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Шевченко, д. 23 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  <w:rPr>
          <w:sz w:val="20"/>
          <w:szCs w:val="20"/>
        </w:rPr>
        <w:sectPr>
          <w:headerReference w:type="default" r:id="rId7"/>
          <w:headerReference w:type="even" r:id="rId8"/>
          <w:headerReference w:type="first" r:id="rId9"/>
          <w:footnotePr>
            <w:pos w:val="pageBottom"/>
            <w:numFmt w:val="decimal"/>
            <w:numRestart w:val="continuous"/>
          </w:footnotePr>
          <w:pgSz w:w="11900" w:h="16840"/>
          <w:pgMar w:top="808" w:right="871" w:bottom="412" w:left="1317" w:header="0" w:footer="3" w:gutter="0"/>
          <w:pgNumType w:start="1"/>
          <w:cols w:num="2" w:space="720" w:equalWidth="0">
            <w:col w:w="4777" w:space="680"/>
            <w:col w:w="4255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ко(®118-1еп(1ег.ги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</w:pPr>
      <w:r>
        <mc:AlternateContent>
          <mc:Choice Requires="wps">
            <w:drawing>
              <wp:anchor distT="0" distB="244475" distL="114300" distR="114300" simplePos="0" relativeHeight="125829378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38100</wp:posOffset>
                </wp:positionV>
                <wp:extent cx="3173095" cy="292735"/>
                <wp:wrapSquare wrapText="bothSides"/>
                <wp:docPr id="8" name="Shape 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73095" cy="2927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widowControl w:val="0"/>
                            </w:pP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4" type="#_x0000_t202" style="position:absolute;margin-left:63.149999999999999pt;margin-top:3.pt;width:249.84999999999999pt;height:23.050000000000001pt;z-index:-125829375;mso-wrap-distance-left:9.pt;mso-wrap-distance-right:9.pt;mso-wrap-distance-bottom:19.25pt;mso-position-horizontal-relative:page" filled="f" stroked="f">
                <v:textbox inset="0,0,0,0">
                  <w:txbxContent>
                    <w:p>
                      <w:pPr>
                        <w:widowControl w:val="0"/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361315" distB="0" distL="114300" distR="278765" simplePos="0" relativeHeight="125829380" behindDoc="0" locked="0" layoutInCell="1" allowOverlap="1">
                <wp:simplePos x="0" y="0"/>
                <wp:positionH relativeFrom="page">
                  <wp:posOffset>802005</wp:posOffset>
                </wp:positionH>
                <wp:positionV relativeFrom="paragraph">
                  <wp:posOffset>399415</wp:posOffset>
                </wp:positionV>
                <wp:extent cx="3008630" cy="175895"/>
                <wp:wrapSquare wrapText="bothSides"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008630" cy="1758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1E1A48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На №</w:t>
                            </w:r>
                            <w:r>
                              <w:rPr>
                                <w:color w:val="1E1A48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1E1A48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ru-RU" w:eastAsia="ru-RU" w:bidi="ru-RU"/>
                              </w:rPr>
                              <w:t>от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63.149999999999999pt;margin-top:31.449999999999999pt;width:236.90000000000001pt;height:13.85pt;z-index:-125829373;mso-wrap-distance-left:9.pt;mso-wrap-distance-top:28.449999999999999pt;mso-wrap-distance-right:21.94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1E1A48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На №</w:t>
                      </w:r>
                      <w:r>
                        <w:rPr>
                          <w:color w:val="1E1A48"/>
                          <w:spacing w:val="0"/>
                          <w:w w:val="100"/>
                          <w:position w:val="0"/>
                          <w:sz w:val="20"/>
                          <w:szCs w:val="2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1E1A48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ru-RU" w:eastAsia="ru-RU" w:bidi="ru-RU"/>
                        </w:rPr>
                        <w:t>от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Заявитель: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Общество с ограниченной ответственностью «МедСнабСервис»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34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300025, Тульская область, г. Тула,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46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Проспект Ленина, д.108, оф. 309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546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Е-таП: 1а\ууег8@Гт-1ги81.ги, 1а\ууег6@Гт-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64" w:lineRule="auto"/>
        <w:ind w:left="546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ИизТ.ги, тед8паЬ8егУ18@Ък.ги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7"/>
        <w:keepNext/>
        <w:keepLines/>
        <w:widowControl w:val="0"/>
        <w:shd w:val="clear" w:color="auto" w:fill="auto"/>
        <w:tabs>
          <w:tab w:pos="7906" w:val="left"/>
        </w:tabs>
        <w:bidi w:val="0"/>
        <w:spacing w:before="0" w:after="0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02 октября 2024 года</w:t>
        <w:tab/>
        <w:t>г. Архангельск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Руководствуясь Письмом ФАС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России от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03.04.2020 № ИА/27903/20 "О дистанционном рассмотрении жалоб, проведения внеплановых проверок, рассмотрения обращений о включении сведений в отношении участников закупок, поставщиков (подрядчиков, исполнителей) в реестр недобросовестных поставщиков", Комиссия Управления Федеральной антимонопольной службы по Архангельской области по контролю в сфере закупок (далее - Комиссия Архангельского УФАС России) в составе: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Председатель комиссии: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76" w:lineRule="auto"/>
        <w:ind w:left="2320" w:right="0" w:hanging="2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Малышева О.С. Заместитель руководителя Управления - начальник отдела контроля закупок;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/>
        <w:ind w:left="0" w:right="0" w:firstLine="800"/>
        <w:jc w:val="left"/>
      </w:pPr>
      <w:bookmarkStart w:id="4" w:name="bookmark4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Члены комиссии: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Вознесенская Н.В. Главный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Пахатина Ю.В. Специалист-эксперт отдела контроля закупок;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пункта 1 части 15 статьи 99, статьи 106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- ФЗ «О контрактной системе»), Постановления Правительства РФ от 26.08.2013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в присутствии представителей от: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4" w:lineRule="auto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Заявителя: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Аляковой А.В. (доверенность от 23.11.2023 № МСС-23/5);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64" w:lineRule="auto"/>
        <w:ind w:left="0" w:right="0" w:firstLine="8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Яшкова М.А. (доверенность от 01.10.2024 № 16-04/167), Быкова М.А, (доверенность от 09.01.2024 № 16-04/1);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tabs>
          <w:tab w:pos="1386" w:val="left"/>
          <w:tab w:leader="dot" w:pos="2525" w:val="left"/>
          <w:tab w:pos="8640" w:val="left"/>
        </w:tabs>
        <w:bidi w:val="0"/>
        <w:spacing w:before="0" w:after="0" w:line="326" w:lineRule="auto"/>
        <w:ind w:left="0" w:right="0" w:firstLine="8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26 сентября 2024 года в Архангельское УФАС России - уполномоченный федеральный орган исполнительной власти, осуществляющий контроль в сфере закупок, поступила жалоба ООО «МедСнабСервис» (далее - Заявитель) на действия заказчика - </w:t>
      </w:r>
      <w:r>
        <w:rPr>
          <w:b/>
          <w:bCs/>
          <w:color w:val="55547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■Ц ..р </w:t>
      </w:r>
      <w:r>
        <w:rPr>
          <w:b/>
          <w:bCs/>
          <w:color w:val="A9ACCF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...... .</w:t>
        <w:tab/>
      </w:r>
      <w:r>
        <w:rPr>
          <w:b/>
          <w:bCs/>
          <w:color w:val="55547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г.Л; - .к.пл.Л </w:t>
      </w:r>
      <w:r>
        <w:rPr>
          <w:b/>
          <w:bCs/>
          <w:color w:val="83819E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ab/>
        <w:t xml:space="preserve"> </w:t>
      </w:r>
      <w:r>
        <w:rPr>
          <w:b/>
          <w:bCs/>
          <w:color w:val="55547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д.1.еф.2 -V </w:t>
      </w:r>
      <w:r>
        <w:rPr>
          <w:b/>
          <w:bCs/>
          <w:color w:val="83819E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ч </w:t>
      </w:r>
      <w:r>
        <w:rPr>
          <w:b/>
          <w:bCs/>
          <w:color w:val="55547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3»» </w: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&gt;»&lt; </w:t>
      </w:r>
      <w:r>
        <w:rPr>
          <w:b/>
          <w:bCs/>
          <w:color w:val="83819E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-.А-</w:t>
      </w:r>
      <w:r>
        <w:rPr>
          <w:b/>
          <w:bCs/>
          <w:color w:val="000000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 xml:space="preserve">30 </w:t>
      </w:r>
      <w:r>
        <w:rPr>
          <w:b/>
          <w:bCs/>
          <w:color w:val="555474"/>
          <w:spacing w:val="0"/>
          <w:w w:val="100"/>
          <w:position w:val="0"/>
          <w:sz w:val="9"/>
          <w:szCs w:val="9"/>
          <w:shd w:val="clear" w:color="auto" w:fill="auto"/>
          <w:lang w:val="ru-RU" w:eastAsia="ru-RU" w:bidi="ru-RU"/>
        </w:rPr>
        <w:t>™р. Ю.ЧЛ-.Ч</w:t>
        <w:tab/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0 47 2 8 9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Отделения Фонда пенсионного и социального страхования Российской Федерации Архангельской области и Ненецкому автономному округу (далее - Заказчик), при проведении запроса котировок в электронной форме на право заключения государственного контракта на поставку слухового аппарата в целях социального обеспечения граждан (извещение №0224100001824000290).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Содержание жалобы: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Обжалуются действия Заказчика в связи с размещением извещения, несоответствующего требованиям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не согласен с доводами Заявителя по основаниям, изложенным в объяснении по жалобе от 01.10.2024 № ИК-19-11/67395.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Архангельского УФАС России рассмотрела жалобу и провела на основании части 15 статьи 99 ФЗ «О контрактной системе» внеплановую проверку осуществления закупки с учетом следующего.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17.09.2024 Заказчиком на официальном сайте единой информационной системы в сфере закупок в сети Интернет Ы1р://2акирк1.§оу.ги размещено извещение №0224100001824000290 о проведении запроса котировок в электронной форме на право заключения государственного контракта на поставку слухового аппарата в целях социального обеспечения граждан (далее - Извещение).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государственного контракта - 1 080 000,00 рублей.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 - ООО «РТС-тендер».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указал, что Заказчик необоснованно установил требование к техническим характеристикам слуховых аппаратов, которое не содержится в национальном стандарте на слуховые аппараты. При этом Заказчик не обосновал в извещении необходимость использования ИНЫХ показателей, требований, условных обозначений и терминологии. Устанавливая требование о наличии у неимплантируемого слухового аппарата костного вибратора, который должен быть расположен в одном корпусе с звуковым процессором (конструктивное исполнение слухового аппарата - моноблок), Заказчик ограничил конкуренцию, что является прямым нарушением требований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2 статьи 42 ФЗ «О контрактной системе» установлено, что извещение об осуществлении закупки должно содержать электронный документ: описание объекта закупки в соответствии с положениями статьи 33 указанного Федерального закона.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пункта 1 части 1 статьи 33 ФЗ «О контрактной системе» Заказчик при описании объекта закупки должен руководствоваться следующими правилами: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в следующих случаях: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сопровождение такого указания словами "или эквивалент";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36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несовместимость товаров, на которых размещаются другие товарные знаки, и необходимость обеспечения взаимодействия таких товаров с товарами, используемыми заказчиком;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9" w:val="left"/>
        </w:tabs>
        <w:bidi w:val="0"/>
        <w:spacing w:before="0" w:after="0" w:line="269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15" w:val="left"/>
        </w:tabs>
        <w:bidi w:val="0"/>
        <w:spacing w:before="0" w:after="0" w:line="269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96" w:right="792" w:bottom="625" w:left="126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осуществление закупки медицинских изделий, специализированных продуктов лечебного питания, необходимых для назначения пациенту по медицинским показаниям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9209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^3/6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(индивидуальная непереносимость, по жизненным показаниям) по решению врачебной комиссии, которое фиксируется в медицинской документации пациента и журнале врачебной комиссии. Перечень указанных медицинских изделий, специализированных продуктов лечебного питания и порядок его формирования утверждаются Правительством Российской Федерации.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при осуществлении закупки Заказчик вправе не только выбрать ее предмет, но и обязан определить его и описать в соответствии с нормами ФЗ «О контрактной системе» именно таким образом, чтобы участник закупки смог подать заявку на участие в торгах, соответствующую объективным и обоснованным требованиям Заказчика. При этом заказчик вправе в необходимой степени детализировать требования к товару, так как ФЗ «О контрактной системе» не содержит норм, ограничивающих право заказчика включать в Извещение требования к объекту закупки, которые являются для него значимыми, а также норм, обязывающих заказчика устанавливать в Извещении, вопреки его потребностям, такие требования к характеристикам объекта закупки, которые соответствовали бы всем существующим видам товаров.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2 части 1 статьи 33 ФЗ «О контрактной системе» заказчик при описании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Раздел «Объект закупки» Извещения, а также файл «Описание объекта закупки», являющийся неотъемлемой частью Извещения (далее - Описание объекта закупки), содержит таблицу, в которой установлены требования к слуховому аппарату костной проводимости (неимплантируемому), в том числе: звуковой процессор и костный телефон в едином корпусе.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Описании объекта закупки также указано, что слуховой аппарат должен соответствовать в том числе требованиям ГОСТ Р 51024-2012 «Аппараты слуховые электронные реабилитационные. Технические требования и методы испытаний» (далее - ГОСТ Р 51024-2012, национальный стандарт).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разделом 1 ГОСТ Р 51024-2012 настоящий стандарт распространяется на носимые слуховые аппараты индивидуального пользования с электронным усилением (далее - СА), предназначенные для слухопротезирования по воздушному и костному звукопроведению.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пункту 4.2. ГОСТ Р 51024-2012 СА в зависимости от конструктивного исполнения подразделяют на основные типы: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внутриушной СА (ушная вставка);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карманный СА;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 в очковой оправе;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5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заушный (заушина) СА;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21" w:val="left"/>
        </w:tabs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СА в виде дугообразного оголовья.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в пункте 4.2. ГОСТ Р 51024-2012 отмечено, что указанные основные типы не ограничивают возможные конструктивные исполнения слуховых аппаратов, но служат ориентиром для определения предъявляемых к слуховым аппаратам технических требований и способов соединения с имитатором уха, камерой малого объема или механической камерой связи.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данном пункте ГОСТ Р 51024-2012 не указан вариант исполнения, либо тип слухового аппарата с раздельными звуковыми процессорами и костным вибратором. Национальный стандарт на слуховые аппараты не ограничивает варианты конструктивного исполнения слухового аппарата костного проведения, а лишь описывает.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национальный стандарт ГОСТ Р 51024-2012 не содержит требований к описанию объекта закупки для осуществления государственных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Кроме того, в соответствии с пунктом 4.6 ГОСТ Р 51024-2012 в технических условиях на слуховые аппараты конкретных типов дополнительно к перечисленным должны быть приведены другие параметры в соответствии с функциональными особенностями и назначением слуховых аппаратов.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Представитель Заказчика в заседании Комиссии Архангельского УФАС России пояснил, что Заказчиком закупаются слуховые аппараты с костной проводимостью для ребенка возрастом полтора года, что подтверждается индивидуальной программой реабилитации или абилитации ребенка-инвалида, выдаваемой федеральными государственными учреждениями медико-социальной экспертизы, а также заключением сурдолога. Устанавливая технические характеристики товара, Заказчик руководствовался потребностями ребенка-инвалида, являющегося конечным получателем товара, и стремился в своих действиях соблюсти его интересы в получении необходимых технических средств реабилитации для обеспечения эффективности реабилитационного процесса. Указание технических характеристик в Описании объекта закупки вызвано, в том числе, необходимостью не допустить к поставке получателю морально устаревших образцов медтехники, которые не распроданы поставщиками.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Проанализировав материалы дела, Комиссия Архангельского УФАС России отмечает следующее.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общему правилу указание Заказчиком в аукционной документации особых характеристик товара, которые отвечают его потребностям и необходимы Заказчику с учетом специфики использования такого товара, не может рассматриваться как ограничение круга потенциальных участников закупки (п.1 Обзора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(утв. Президиумом Верховного Суда РФ 28.06.2017)).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Основной задачей законодательства, устанавливающего порядок проведения торгов, является не столько обеспечение максимально широкого круга участников закупки, сколько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финансирования, предотвращения злоупотреблений в сфере закупок. Отсутствие у каких-либо лиц, заинтересованных в заключении контракта, возможности поставить товар, соответствующий потребностям Заказчика, не свидетельствует о нарушении Заказчиком прав этих лиц, а также ограничении заказчиком числа участников торгов.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Включение в техническое задание спорной характеристики товара, обусловленной его спецификой не может рассматриваться как нарушение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Перечнем показаний и противопоказаний для обеспечения инвалидов техническими средствами реабилитации, утвержденным Приказом Минтруда России от 27.04.2023 № 342н, слуховые аппараты, в том числе с утиными вкладышами индивидуального изготовления, подбираются индивидуально, исходя из комплексной оценки ограничений жизнедеятельности (состояния организма), вызванных стойким расстройством функций организма, реабилитационного потенциала на основе анализа его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leader="underscore" w:pos="508" w:val="left"/>
          <w:tab w:leader="underscore" w:pos="9205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ab/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Э5/6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клинико-функциональных, социально-бытовых, профессионально-трудовых и психологических данных в целях компенсации следующих возможных ограничений жизнедеятельности: способность к общению, ориентации, обучению, трудовой деятельности.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установил требования к оборудованию, исходя из своей потребности, из назначения такого оборудования, а также с учетом наличия требований технических регламентов, принятых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Участником закупки может выступать любое лицо, готовое поставить товар, отвечающий требованиям Извещения и требованиям Заказчика. Объективные причины невозможности приобретения товара с требуемыми Заказчику характеристиками Заявителем не представлены.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материалах дела отсутствуют доказательства того, что установление указанных в Извещении требований фактически ограничивает число потенциальных участников данной закупки, создает одним участникам закупки преимущество перед другими. Как подтверждается материалами дела, начальная (максимальная) цена контракта определена на основании 3-х коммерческих предложений.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Под Описание объекта закупки подходят слуховые аппараты трех производителей, а именно: Аппарат слуховой костной проводимости «РопТо», производитель «Отикон Медикал АБ» (Швеция), слуховой аппарат костной проводимости «А1рйа», производитель «Медтронике Ксомед Инк.» (США) и аппарат слуховой костной проводимости «Пронто» производитель «Отопром» (Российская Федерации), что подтверждается сравнительной таблицей, представленной Заказчиком.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участником закупки могло выступить любое лицо, в том числе и не являющееся производителем требуемого к поставке товара, готовое поставить товар, отвечающий требованиям Извещения и удовлетворяющий потребности Заказчика.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этом, аргументация того, что в слуховых аппаратах костной проводимости, у которых костный вибратор расположен в отдельных корпусах со звуковым процессором, имеется преимущество в части более чистого звука без свиста и посторонних помех, не подтверждается Заявителем.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Аргументация по стоимости слухового аппарата костной проводимости не является основополагающей: Заявитель обозначил эффективность ремонтопригодности, при этом не привел сравнительного результата расчета надежности, статистических данных по необходимости затрат на выполнение негарантийного ремонта, не подтвердил нормативными документами.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Следует отметить, что наличие соединительного кабеля между костным вибратором и корпусом звукового процессора/слухового аппарата может потребовать от пользователя дополнительного внимания и аккуратности при уходе за медицинским изделием. Однако, данным изделием будут пользоваться дети, у которых, как правило, высокая активность. В случае механических повреждений при уходе/обслуживании медицинского изделия, состоящего из двух компонентов, соединенных проводом, может возникнуть необходимость негарантийного ремонта.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вышеизложенного, Комиссия Архангельского УФАС России приходит к выводу о том, что Заказчик при формировании описания объекта закупки руководствуется объективными потребностями и при этом соблюдает условия о недопущении ограничения количества участников закупки.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при описании объекта закупки не нарушены положения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Заявителем в подтверждение своего довода каких-либо доказательств, свидетельствующих об ограничении количества участников закупки, не представлено.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  <w:sectPr>
          <w:headerReference w:type="default" r:id="rId10"/>
          <w:headerReference w:type="even" r:id="rId11"/>
          <w:footnotePr>
            <w:pos w:val="pageBottom"/>
            <w:numFmt w:val="decimal"/>
            <w:numRestart w:val="continuous"/>
          </w:footnotePr>
          <w:pgSz w:w="11900" w:h="16840"/>
          <w:pgMar w:top="665" w:right="897" w:bottom="774" w:left="1354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в жалобе указал, что в пункте 3.2.6 проекта государственного контракта содержатся необоснованные и невыполнимые условия.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соответствие с частью 11 статьи 34 ФЗ «О контрактной системе» Правительство Российской Федерации вправе установить типовые условия контрактов, подлежащие применению заказчиками при осуществлении закупок.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Приказом Минтруда России от 11.03.2019 № 144н утвержден типовой контракт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инвалиду, и информационная карта типового контракта на поставку отдельных видов технических средств реабилитации серийного производства, не требующих индивидуального изготовления, предусмотренных федеральным перечнем реабилитационных мероприятий, технических средств реабилитации и услуг, предоставляемых инвалиду (далее - типовой контракт).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Типовой контракт содержит положения о возможности изменения Заказчиком объема товара (пункт 3.2.6).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3.2.6 проекта государственного контракта Заказчик вправе предложить увеличить или уменьшить в процессе исполнения Контракта количество Товара, предусмотренное Контрактом, не более чем на десять процентов в порядке и на условиях, установленных ФЗ «О контрактной системе».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в жалобе не представлены документы и сведения, свидетельствующие о нарушении законных прав и интересов Заявителя положениями пункта 3.2.6 проекта государственного контракта.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Заказчик правомерно при составлении Извещения использовал типовой контракт, утвержденный приказом Минтруда России от 11.03.2019 №144н, положения которого предусматривают возможность изменения объема товара.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260"/>
        <w:ind w:left="0" w:right="0" w:firstLine="740"/>
        <w:jc w:val="both"/>
      </w:pP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довод Заявителя является необоснованным.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проведении внеплановой проверки на основании пункта 1 части 15 статьи 99 ФЗ «О контрактной системе» данной закупки нарушений законодательства РФ о контрактной системе не выявлено.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76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Руководствуясь пунктом 1 части 15 статьи 99 и частью 8 статьи 106 ФЗ «О контрактной системе», Комиссия Управления Федеральной антимонопольной службы по Архангельской области по контролю в сфере закупок,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«МедСнабСервис» необоснованной.</w:t>
      </w:r>
    </w:p>
    <w:p>
      <w:pPr>
        <w:pStyle w:val="Style3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892175</wp:posOffset>
                </wp:positionH>
                <wp:positionV relativeFrom="paragraph">
                  <wp:posOffset>304800</wp:posOffset>
                </wp:positionV>
                <wp:extent cx="1911350" cy="16256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11350" cy="1625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трех месяцев со дня его принятия.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70.25pt;margin-top:24.pt;width:150.5pt;height:12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3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трех месяцев со дня его принятия.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894080</wp:posOffset>
                </wp:positionH>
                <wp:positionV relativeFrom="paragraph">
                  <wp:posOffset>952500</wp:posOffset>
                </wp:positionV>
                <wp:extent cx="1691640" cy="18288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91640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70.400000000000006pt;margin-top:75.pt;width:133.19999999999999pt;height:14.4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0" distB="694690" distL="114300" distR="132715" simplePos="0" relativeHeight="125829386" behindDoc="0" locked="0" layoutInCell="1" allowOverlap="1">
            <wp:simplePos x="0" y="0"/>
            <wp:positionH relativeFrom="page">
              <wp:posOffset>3850005</wp:posOffset>
            </wp:positionH>
            <wp:positionV relativeFrom="paragraph">
              <wp:posOffset>330200</wp:posOffset>
            </wp:positionV>
            <wp:extent cx="3102610" cy="938530"/>
            <wp:wrapSquare wrapText="left"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ext cx="3102610" cy="9385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5658485</wp:posOffset>
                </wp:positionH>
                <wp:positionV relativeFrom="paragraph">
                  <wp:posOffset>1290320</wp:posOffset>
                </wp:positionV>
                <wp:extent cx="1305560" cy="17399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556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Н.В. Вознесенская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45.55000000000001pt;margin-top:101.60000000000001pt;width:102.8pt;height:13.7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Н.В. Вознесенская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978535" distB="0" distL="379730" distR="1192530" simplePos="0" relativeHeight="125829387" behindDoc="0" locked="0" layoutInCell="1" allowOverlap="1">
            <wp:simplePos x="0" y="0"/>
            <wp:positionH relativeFrom="page">
              <wp:posOffset>4115435</wp:posOffset>
            </wp:positionH>
            <wp:positionV relativeFrom="paragraph">
              <wp:posOffset>1308735</wp:posOffset>
            </wp:positionV>
            <wp:extent cx="1774190" cy="652145"/>
            <wp:wrapSquare wrapText="lef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ext cx="1774190" cy="652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5873115</wp:posOffset>
                </wp:positionH>
                <wp:positionV relativeFrom="paragraph">
                  <wp:posOffset>1640205</wp:posOffset>
                </wp:positionV>
                <wp:extent cx="1094740" cy="17399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74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3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Ю.В. Пахатина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62.44999999999999pt;margin-top:129.15000000000001pt;width:86.200000000000003pt;height:13.7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3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Ю.В. Пахатина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Примечание.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ФЗ «О контрактной системе» решение, принятое по результатам рассмотрения жалобы по существу, может быть обжаловано в судебном порядке в течение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260" w:after="260" w:line="240" w:lineRule="auto"/>
        <w:ind w:left="0" w:right="0" w:firstLine="0"/>
        <w:jc w:val="both"/>
      </w:pPr>
      <w:bookmarkStart w:id="12" w:name="bookmark1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  <w:bookmarkEnd w:id="12"/>
    </w:p>
    <w:sectPr>
      <w:headerReference w:type="default" r:id="rId16"/>
      <w:headerReference w:type="even" r:id="rId17"/>
      <w:footnotePr>
        <w:pos w:val="pageBottom"/>
        <w:numFmt w:val="decimal"/>
        <w:numRestart w:val="continuous"/>
      </w:footnotePr>
      <w:pgSz w:w="11900" w:h="16840"/>
      <w:pgMar w:top="665" w:right="897" w:bottom="774" w:left="1354" w:header="0" w:footer="346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6720840</wp:posOffset>
              </wp:positionH>
              <wp:positionV relativeFrom="page">
                <wp:posOffset>332105</wp:posOffset>
              </wp:positionV>
              <wp:extent cx="224155" cy="109855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^2/6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529.20000000000005pt;margin-top:26.150000000000002pt;width:17.650000000000002pt;height:8.6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^2/6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887095</wp:posOffset>
              </wp:positionH>
              <wp:positionV relativeFrom="page">
                <wp:posOffset>471805</wp:posOffset>
              </wp:positionV>
              <wp:extent cx="6078220" cy="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850000000000009pt;margin-top:37.149999999999999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6720840</wp:posOffset>
              </wp:positionH>
              <wp:positionV relativeFrom="page">
                <wp:posOffset>332105</wp:posOffset>
              </wp:positionV>
              <wp:extent cx="224155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^2/6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29.20000000000005pt;margin-top:26.150000000000002pt;width:17.650000000000002pt;height:8.6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^2/6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887095</wp:posOffset>
              </wp:positionH>
              <wp:positionV relativeFrom="page">
                <wp:posOffset>471805</wp:posOffset>
              </wp:positionV>
              <wp:extent cx="607822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822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850000000000009pt;margin-top:37.149999999999999pt;width:478.6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880745</wp:posOffset>
              </wp:positionH>
              <wp:positionV relativeFrom="page">
                <wp:posOffset>214630</wp:posOffset>
              </wp:positionV>
              <wp:extent cx="6050915" cy="144145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50915" cy="1441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529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ab/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u w:val="single"/>
                              <w:shd w:val="clear" w:color="auto" w:fill="auto"/>
                              <w:lang w:val="ru-RU" w:eastAsia="ru-RU" w:bidi="ru-RU"/>
                            </w:rPr>
                            <w:t>©4/6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69.350000000000009pt;margin-top:16.899999999999999pt;width:476.44999999999999pt;height:11.35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529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ab/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u w:val="single"/>
                        <w:shd w:val="clear" w:color="auto" w:fill="auto"/>
                        <w:lang w:val="ru-RU" w:eastAsia="ru-RU" w:bidi="ru-RU"/>
                      </w:rPr>
                      <w:t>©4/6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350520</wp:posOffset>
              </wp:positionV>
              <wp:extent cx="6073775" cy="0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3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150000000000006pt;margin-top:27.600000000000001pt;width:478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6710045</wp:posOffset>
              </wp:positionH>
              <wp:positionV relativeFrom="page">
                <wp:posOffset>247015</wp:posOffset>
              </wp:positionV>
              <wp:extent cx="224155" cy="11176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Цб/6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28.35000000000002pt;margin-top:19.449999999999999pt;width:17.650000000000002pt;height:8.8000000000000007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Цб/6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381635</wp:posOffset>
              </wp:positionV>
              <wp:extent cx="6073775" cy="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3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150000000000006pt;margin-top:30.050000000000001pt;width:478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6710045</wp:posOffset>
              </wp:positionH>
              <wp:positionV relativeFrom="page">
                <wp:posOffset>247015</wp:posOffset>
              </wp:positionV>
              <wp:extent cx="224155" cy="11176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4155" cy="11176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7"/>
                              <w:szCs w:val="17"/>
                              <w:shd w:val="clear" w:color="auto" w:fill="auto"/>
                              <w:lang w:val="ru-RU" w:eastAsia="ru-RU" w:bidi="ru-RU"/>
                            </w:rPr>
                            <w:t>Цб/6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6" type="#_x0000_t202" style="position:absolute;margin-left:528.35000000000002pt;margin-top:19.449999999999999pt;width:17.650000000000002pt;height:8.8000000000000007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7"/>
                        <w:szCs w:val="17"/>
                        <w:shd w:val="clear" w:color="auto" w:fill="auto"/>
                        <w:lang w:val="ru-RU" w:eastAsia="ru-RU" w:bidi="ru-RU"/>
                      </w:rPr>
                      <w:t>Цб/6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878205</wp:posOffset>
              </wp:positionH>
              <wp:positionV relativeFrom="page">
                <wp:posOffset>381635</wp:posOffset>
              </wp:positionV>
              <wp:extent cx="6073775" cy="0"/>
              <wp:wrapNone/>
              <wp:docPr id="32" name="Shape 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07377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9.150000000000006pt;margin-top:30.050000000000001pt;width:478.25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Основной текст (4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E1C7D"/>
      <w:sz w:val="26"/>
      <w:szCs w:val="26"/>
      <w:u w:val="none"/>
    </w:rPr>
  </w:style>
  <w:style w:type="character" w:customStyle="1" w:styleId="CharStyle8">
    <w:name w:val="Основной текст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A48"/>
      <w:sz w:val="17"/>
      <w:szCs w:val="17"/>
      <w:u w:val="none"/>
    </w:rPr>
  </w:style>
  <w:style w:type="character" w:customStyle="1" w:styleId="CharStyle14">
    <w:name w:val="Основной текст (5)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8">
    <w:name w:val="Заголовок №1_"/>
    <w:basedOn w:val="DefaultParagraphFont"/>
    <w:link w:val="Style1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7">
    <w:name w:val="Колонтитул (2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31">
    <w:name w:val="Основной текст (2)_"/>
    <w:basedOn w:val="DefaultParagraphFont"/>
    <w:link w:val="Style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character" w:customStyle="1" w:styleId="CharStyle33">
    <w:name w:val="Подпись к картинке_"/>
    <w:basedOn w:val="DefaultParagraphFont"/>
    <w:link w:val="Style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spacing w:line="271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Основной текст (4)"/>
    <w:basedOn w:val="Normal"/>
    <w:link w:val="CharStyle6"/>
    <w:pPr>
      <w:widowControl w:val="0"/>
      <w:shd w:val="clear" w:color="auto" w:fill="auto"/>
      <w:spacing w:after="30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E1C7D"/>
      <w:sz w:val="26"/>
      <w:szCs w:val="26"/>
      <w:u w:val="none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E1A48"/>
      <w:sz w:val="17"/>
      <w:szCs w:val="17"/>
      <w:u w:val="none"/>
    </w:rPr>
  </w:style>
  <w:style w:type="paragraph" w:customStyle="1" w:styleId="Style13">
    <w:name w:val="Основной текст (5)"/>
    <w:basedOn w:val="Normal"/>
    <w:link w:val="CharStyle14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7">
    <w:name w:val="Заголовок №1"/>
    <w:basedOn w:val="Normal"/>
    <w:link w:val="CharStyle18"/>
    <w:pPr>
      <w:widowControl w:val="0"/>
      <w:shd w:val="clear" w:color="auto" w:fill="auto"/>
      <w:spacing w:after="120" w:line="271" w:lineRule="auto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6">
    <w:name w:val="Колонтитул (2)"/>
    <w:basedOn w:val="Normal"/>
    <w:link w:val="CharStyle27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30">
    <w:name w:val="Основной текст (2)"/>
    <w:basedOn w:val="Normal"/>
    <w:link w:val="CharStyle31"/>
    <w:pPr>
      <w:widowControl w:val="0"/>
      <w:shd w:val="clear" w:color="auto" w:fill="auto"/>
      <w:spacing w:line="254" w:lineRule="auto"/>
    </w:pPr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9"/>
      <w:szCs w:val="19"/>
      <w:u w:val="none"/>
    </w:rPr>
  </w:style>
  <w:style w:type="paragraph" w:customStyle="1" w:styleId="Style32">
    <w:name w:val="Подпись к картинке"/>
    <w:basedOn w:val="Normal"/>
    <w:link w:val="CharStyle3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image" Target="media/image2.jpeg"/><Relationship Id="rId13" Type="http://schemas.openxmlformats.org/officeDocument/2006/relationships/image" Target="media/image2.jpeg" TargetMode="External"/><Relationship Id="rId14" Type="http://schemas.openxmlformats.org/officeDocument/2006/relationships/image" Target="media/image3.jpeg"/><Relationship Id="rId15" Type="http://schemas.openxmlformats.org/officeDocument/2006/relationships/image" Target="media/image3.jpeg" TargetMode="External"/><Relationship Id="rId16" Type="http://schemas.openxmlformats.org/officeDocument/2006/relationships/header" Target="header6.xml"/><Relationship Id="rId17" Type="http://schemas.openxmlformats.org/officeDocument/2006/relationships/header" Target="header7.xml"/></Relationships>
</file>