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360" w:lineRule="exact"/>
      </w:pPr>
      <w:r>
        <w:drawing>
          <wp:anchor distT="0" distB="0" distL="0" distR="0" simplePos="0" relativeHeight="62914690" behindDoc="1" locked="0" layoutInCell="1" allowOverlap="1">
            <wp:simplePos x="0" y="0"/>
            <wp:positionH relativeFrom="page">
              <wp:posOffset>1784350</wp:posOffset>
            </wp:positionH>
            <wp:positionV relativeFrom="margin">
              <wp:posOffset>0</wp:posOffset>
            </wp:positionV>
            <wp:extent cx="511810" cy="56070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60705"/>
                    </a:xfrm>
                    <a:prstGeom prst="rect"/>
                  </pic:spPr>
                </pic:pic>
              </a:graphicData>
            </a:graphic>
          </wp:anchor>
        </w:drawing>
      </w:r>
    </w:p>
    <w:p>
      <w:pPr>
        <w:widowControl w:val="0"/>
        <w:spacing w:after="522"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8" w:right="536" w:bottom="649" w:left="1106" w:header="0" w:footer="3" w:gutter="0"/>
          <w:pgNumType w:start="1"/>
          <w:cols w:space="720"/>
          <w:noEndnote/>
          <w:titlePg/>
          <w:rtlGutter w:val="0"/>
          <w:docGrid w:linePitch="360"/>
        </w:sectPr>
      </w:pPr>
    </w:p>
    <w:p>
      <w:pPr>
        <w:pStyle w:val="Style9"/>
        <w:keepNext w:val="0"/>
        <w:keepLines w:val="0"/>
        <w:widowControl w:val="0"/>
        <w:shd w:val="clear" w:color="auto" w:fill="auto"/>
        <w:bidi w:val="0"/>
        <w:spacing w:before="0" w:after="0" w:line="211" w:lineRule="auto"/>
        <w:ind w:left="0" w:right="0" w:firstLine="320"/>
        <w:jc w:val="left"/>
      </w:pPr>
      <w:r>
        <mc:AlternateContent>
          <mc:Choice Requires="wps">
            <w:drawing>
              <wp:anchor distT="0" distB="2343785" distL="403860" distR="373380" simplePos="0" relativeHeight="125829378" behindDoc="0" locked="0" layoutInCell="1" allowOverlap="1">
                <wp:simplePos x="0" y="0"/>
                <wp:positionH relativeFrom="page">
                  <wp:posOffset>1016635</wp:posOffset>
                </wp:positionH>
                <wp:positionV relativeFrom="paragraph">
                  <wp:posOffset>50800</wp:posOffset>
                </wp:positionV>
                <wp:extent cx="2045335" cy="301625"/>
                <wp:wrapSquare wrapText="right"/>
                <wp:docPr id="9" name="Shape 9"/>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wps:txbx>
                      <wps:bodyPr lIns="0" tIns="0" rIns="0" bIns="0">
                        <a:noAutoFit/>
                      </wps:bodyPr>
                    </wps:wsp>
                  </a:graphicData>
                </a:graphic>
              </wp:anchor>
            </w:drawing>
          </mc:Choice>
          <mc:Fallback>
            <w:pict>
              <v:shape id="_x0000_s1035" type="#_x0000_t202" style="position:absolute;margin-left:80.049999999999997pt;margin-top:4.pt;width:161.05000000000001pt;height:23.75pt;z-index:-125829375;mso-wrap-distance-left:31.800000000000001pt;mso-wrap-distance-right:29.400000000000002pt;mso-wrap-distance-bottom:184.55000000000001pt;mso-position-horizontal-relative:page" filled="f" stroked="f">
                <v:textbox inset="0,0,0,0">
                  <w:txbxContent>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ФЕДЕРАЛЬНАЯ</w:t>
                      </w:r>
                    </w:p>
                    <w:p>
                      <w:pPr>
                        <w:pStyle w:val="Style5"/>
                        <w:keepNext w:val="0"/>
                        <w:keepLines w:val="0"/>
                        <w:widowControl w:val="0"/>
                        <w:shd w:val="clear" w:color="auto" w:fill="auto"/>
                        <w:bidi w:val="0"/>
                        <w:spacing w:before="0" w:after="0" w:line="240" w:lineRule="auto"/>
                        <w:ind w:left="0" w:right="0" w:firstLine="0"/>
                        <w:jc w:val="center"/>
                      </w:pPr>
                      <w:r>
                        <w:rPr>
                          <w:b/>
                          <w:bCs/>
                          <w:spacing w:val="0"/>
                          <w:w w:val="100"/>
                          <w:position w:val="0"/>
                          <w:shd w:val="clear" w:color="auto" w:fill="auto"/>
                          <w:lang w:val="ru-RU" w:eastAsia="ru-RU" w:bidi="ru-RU"/>
                        </w:rPr>
                        <w:t>АНТИМОНОПОЛЬНАЯ СЛУЖБА</w:t>
                      </w:r>
                    </w:p>
                  </w:txbxContent>
                </v:textbox>
                <w10:wrap type="square" side="right" anchorx="page"/>
              </v:shape>
            </w:pict>
          </mc:Fallback>
        </mc:AlternateContent>
      </w:r>
      <w:r>
        <mc:AlternateContent>
          <mc:Choice Requires="wps">
            <w:drawing>
              <wp:anchor distT="423545" distB="813435" distL="193675" distR="193675" simplePos="0" relativeHeight="125829380" behindDoc="0" locked="0" layoutInCell="1" allowOverlap="1">
                <wp:simplePos x="0" y="0"/>
                <wp:positionH relativeFrom="page">
                  <wp:posOffset>806450</wp:posOffset>
                </wp:positionH>
                <wp:positionV relativeFrom="paragraph">
                  <wp:posOffset>474345</wp:posOffset>
                </wp:positionV>
                <wp:extent cx="2435225" cy="1408430"/>
                <wp:wrapSquare wrapText="right"/>
                <wp:docPr id="11" name="Shape 11"/>
                <a:graphic xmlns:a="http://schemas.openxmlformats.org/drawingml/2006/main">
                  <a:graphicData uri="http://schemas.microsoft.com/office/word/2010/wordprocessingShape">
                    <wps:wsp>
                      <wps:cNvSpPr txBox="1"/>
                      <wps:spPr>
                        <a:xfrm>
                          <a:ext cx="2435225" cy="1408430"/>
                        </a:xfrm>
                        <a:prstGeom prst="rect"/>
                        <a:noFill/>
                      </wps:spPr>
                      <wps:txbx>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07.10.2024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41198/24</w:t>
                            </w:r>
                          </w:p>
                        </w:txbxContent>
                      </wps:txbx>
                      <wps:bodyPr lIns="0" tIns="0" rIns="0" bIns="0">
                        <a:noAutoFit/>
                      </wps:bodyPr>
                    </wps:wsp>
                  </a:graphicData>
                </a:graphic>
              </wp:anchor>
            </w:drawing>
          </mc:Choice>
          <mc:Fallback>
            <w:pict>
              <v:shape id="_x0000_s1037" type="#_x0000_t202" style="position:absolute;margin-left:63.5pt;margin-top:37.350000000000001pt;width:191.75pt;height:110.90000000000001pt;z-index:-125829373;mso-wrap-distance-left:15.25pt;mso-wrap-distance-top:33.350000000000001pt;mso-wrap-distance-right:15.25pt;mso-wrap-distance-bottom:64.049999999999997pt;mso-position-horizontal-relative:page" filled="f" stroked="f">
                <v:textbox inset="0,0,0,0">
                  <w:txbxContent>
                    <w:p>
                      <w:pPr>
                        <w:pStyle w:val="Style5"/>
                        <w:keepNext w:val="0"/>
                        <w:keepLines w:val="0"/>
                        <w:widowControl w:val="0"/>
                        <w:shd w:val="clear" w:color="auto" w:fill="auto"/>
                        <w:bidi w:val="0"/>
                        <w:spacing w:before="0" w:after="220" w:line="240" w:lineRule="auto"/>
                        <w:ind w:left="0" w:right="0" w:firstLine="0"/>
                        <w:jc w:val="center"/>
                      </w:pPr>
                      <w:r>
                        <w:rPr>
                          <w:b/>
                          <w:bCs/>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5"/>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9"/>
                        <w:keepNext w:val="0"/>
                        <w:keepLines w:val="0"/>
                        <w:widowControl w:val="0"/>
                        <w:shd w:val="clear" w:color="auto" w:fill="auto"/>
                        <w:tabs>
                          <w:tab w:pos="1838" w:val="left"/>
                        </w:tabs>
                        <w:bidi w:val="0"/>
                        <w:spacing w:before="0" w:after="180" w:line="240" w:lineRule="auto"/>
                        <w:ind w:left="0" w:right="0" w:firstLine="0"/>
                        <w:jc w:val="left"/>
                        <w:rPr>
                          <w:sz w:val="30"/>
                          <w:szCs w:val="30"/>
                        </w:rPr>
                      </w:pP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07.10.2024</w:t>
                      </w:r>
                      <w:r>
                        <w:fldChar w:fldCharType="end"/>
                      </w:r>
                      <w:r>
                        <w:rPr>
                          <w:color w:val="000000"/>
                          <w:spacing w:val="0"/>
                          <w:w w:val="100"/>
                          <w:position w:val="0"/>
                          <w:sz w:val="30"/>
                          <w:szCs w:val="30"/>
                          <w:shd w:val="clear" w:color="auto" w:fill="auto"/>
                          <w:lang w:val="ru-RU" w:eastAsia="ru-RU" w:bidi="ru-RU"/>
                        </w:rPr>
                        <w:tab/>
                        <w:t>№</w:t>
                      </w:r>
                      <w:r>
                        <w:rPr>
                          <w:color w:val="000000"/>
                          <w:spacing w:val="0"/>
                          <w:w w:val="100"/>
                          <w:position w:val="0"/>
                          <w:sz w:val="30"/>
                          <w:szCs w:val="30"/>
                          <w:u w:val="single"/>
                          <w:shd w:val="clear" w:color="auto" w:fill="auto"/>
                          <w:lang w:val="ru-RU" w:eastAsia="ru-RU" w:bidi="ru-RU"/>
                        </w:rPr>
                        <w:t xml:space="preserve"> </w:t>
                      </w:r>
                      <w:r>
                        <w:rPr>
                          <w:color w:val="000000"/>
                          <w:spacing w:val="0"/>
                          <w:w w:val="100"/>
                          <w:position w:val="0"/>
                          <w:sz w:val="30"/>
                          <w:szCs w:val="30"/>
                          <w:shd w:val="clear" w:color="auto" w:fill="auto"/>
                          <w:lang w:val="ru-RU" w:eastAsia="ru-RU" w:bidi="ru-RU"/>
                        </w:rPr>
                        <w:t>41198/24</w:t>
                      </w:r>
                    </w:p>
                  </w:txbxContent>
                </v:textbox>
                <w10:wrap type="square" side="right" anchorx="page"/>
              </v:shape>
            </w:pict>
          </mc:Fallback>
        </mc:AlternateContent>
      </w:r>
      <w:r>
        <w:drawing>
          <wp:anchor distT="1947545" distB="0" distL="114300" distR="114300" simplePos="0" relativeHeight="125829382" behindDoc="0" locked="0" layoutInCell="1" allowOverlap="1">
            <wp:simplePos x="0" y="0"/>
            <wp:positionH relativeFrom="page">
              <wp:posOffset>727075</wp:posOffset>
            </wp:positionH>
            <wp:positionV relativeFrom="paragraph">
              <wp:posOffset>1998345</wp:posOffset>
            </wp:positionV>
            <wp:extent cx="2597150" cy="701040"/>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1"/>
                    <a:stretch/>
                  </pic:blipFill>
                  <pic:spPr>
                    <a:xfrm>
                      <a:ext cx="2597150" cy="701040"/>
                    </a:xfrm>
                    <a:prstGeom prst="rect"/>
                  </pic:spPr>
                </pic:pic>
              </a:graphicData>
            </a:graphic>
          </wp:anchor>
        </w:drawing>
      </w:r>
      <w:r>
        <w:rPr>
          <w:color w:val="000000"/>
          <w:spacing w:val="0"/>
          <w:w w:val="100"/>
          <w:position w:val="0"/>
          <w:shd w:val="clear" w:color="auto" w:fill="auto"/>
          <w:lang w:val="ru-RU" w:eastAsia="ru-RU" w:bidi="ru-RU"/>
        </w:rPr>
        <w:t>ООО СТК «ДОРТРАНС»</w:t>
      </w:r>
    </w:p>
    <w:p>
      <w:pPr>
        <w:pStyle w:val="Style9"/>
        <w:keepNext w:val="0"/>
        <w:keepLines w:val="0"/>
        <w:widowControl w:val="0"/>
        <w:shd w:val="clear" w:color="auto" w:fill="auto"/>
        <w:bidi w:val="0"/>
        <w:spacing w:before="0" w:after="200" w:line="211" w:lineRule="auto"/>
        <w:ind w:left="0" w:right="0" w:firstLine="320"/>
        <w:jc w:val="left"/>
      </w:pPr>
      <w:r>
        <w:fldChar w:fldCharType="begin"/>
      </w:r>
      <w:r>
        <w:rPr/>
        <w:instrText> HYPERLINK "mailto:stkdor@yandex.ru" </w:instrText>
      </w:r>
      <w:r>
        <w:fldChar w:fldCharType="separate"/>
      </w:r>
      <w:r>
        <w:rPr>
          <w:color w:val="000000"/>
          <w:spacing w:val="0"/>
          <w:w w:val="100"/>
          <w:position w:val="0"/>
          <w:shd w:val="clear" w:color="auto" w:fill="auto"/>
          <w:lang w:val="ru-RU" w:eastAsia="ru-RU" w:bidi="ru-RU"/>
        </w:rPr>
        <w:t>81кдог@уапдех.ги</w:t>
      </w:r>
      <w:r>
        <w:fldChar w:fldCharType="end"/>
      </w:r>
    </w:p>
    <w:p>
      <w:pPr>
        <w:pStyle w:val="Style9"/>
        <w:keepNext w:val="0"/>
        <w:keepLines w:val="0"/>
        <w:widowControl w:val="0"/>
        <w:shd w:val="clear" w:color="auto" w:fill="auto"/>
        <w:bidi w:val="0"/>
        <w:spacing w:before="0" w:after="0" w:line="211" w:lineRule="auto"/>
        <w:ind w:left="320" w:right="0" w:firstLine="20"/>
        <w:jc w:val="left"/>
      </w:pPr>
      <w:r>
        <w:rPr>
          <w:color w:val="000000"/>
          <w:spacing w:val="0"/>
          <w:w w:val="100"/>
          <w:position w:val="0"/>
          <w:shd w:val="clear" w:color="auto" w:fill="auto"/>
          <w:lang w:val="ru-RU" w:eastAsia="ru-RU" w:bidi="ru-RU"/>
        </w:rPr>
        <w:t>ГКУ г. Москвы «Администратор Московского парковочного пространства»</w:t>
      </w:r>
    </w:p>
    <w:p>
      <w:pPr>
        <w:pStyle w:val="Style9"/>
        <w:keepNext w:val="0"/>
        <w:keepLines w:val="0"/>
        <w:widowControl w:val="0"/>
        <w:shd w:val="clear" w:color="auto" w:fill="auto"/>
        <w:bidi w:val="0"/>
        <w:spacing w:before="0" w:after="200" w:line="211" w:lineRule="auto"/>
        <w:ind w:left="0" w:right="0" w:firstLine="320"/>
        <w:jc w:val="left"/>
      </w:pPr>
      <w:r>
        <w:fldChar w:fldCharType="begin"/>
      </w:r>
      <w:r>
        <w:rPr/>
        <w:instrText> HYPERLINK "mailto:dtz-torgi@transport.mos.ru" </w:instrText>
      </w:r>
      <w:r>
        <w:fldChar w:fldCharType="separate"/>
      </w:r>
      <w:r>
        <w:rPr>
          <w:color w:val="000000"/>
          <w:spacing w:val="0"/>
          <w:w w:val="100"/>
          <w:position w:val="0"/>
          <w:shd w:val="clear" w:color="auto" w:fill="auto"/>
          <w:lang w:val="ru-RU" w:eastAsia="ru-RU" w:bidi="ru-RU"/>
        </w:rPr>
        <w:t>41:х-1:о^@1тап8ро11.то8.ги</w:t>
      </w:r>
      <w:r>
        <w:fldChar w:fldCharType="end"/>
      </w:r>
    </w:p>
    <w:p>
      <w:pPr>
        <w:pStyle w:val="Style9"/>
        <w:keepNext w:val="0"/>
        <w:keepLines w:val="0"/>
        <w:widowControl w:val="0"/>
        <w:shd w:val="clear" w:color="auto" w:fill="auto"/>
        <w:bidi w:val="0"/>
        <w:spacing w:before="0" w:after="0" w:line="211" w:lineRule="auto"/>
        <w:ind w:left="0" w:right="0" w:firstLine="320"/>
        <w:jc w:val="left"/>
      </w:pPr>
      <w:r>
        <w:rPr>
          <w:color w:val="000000"/>
          <w:spacing w:val="0"/>
          <w:w w:val="100"/>
          <w:position w:val="0"/>
          <w:shd w:val="clear" w:color="auto" w:fill="auto"/>
          <w:lang w:val="ru-RU" w:eastAsia="ru-RU" w:bidi="ru-RU"/>
        </w:rPr>
        <w:t>ГКУ «ДТЗ»</w:t>
      </w:r>
    </w:p>
    <w:p>
      <w:pPr>
        <w:pStyle w:val="Style9"/>
        <w:keepNext w:val="0"/>
        <w:keepLines w:val="0"/>
        <w:widowControl w:val="0"/>
        <w:shd w:val="clear" w:color="auto" w:fill="auto"/>
        <w:bidi w:val="0"/>
        <w:spacing w:before="0" w:after="200" w:line="211" w:lineRule="auto"/>
        <w:ind w:left="0" w:right="0" w:firstLine="320"/>
        <w:jc w:val="left"/>
      </w:pPr>
      <w:r>
        <w:fldChar w:fldCharType="begin"/>
      </w:r>
      <w:r>
        <w:rPr/>
        <w:instrText> HYPERLINK "mailto:dtz-torgi@transport.mos.ru" </w:instrText>
      </w:r>
      <w:r>
        <w:fldChar w:fldCharType="separate"/>
      </w:r>
      <w:r>
        <w:rPr>
          <w:color w:val="000000"/>
          <w:spacing w:val="0"/>
          <w:w w:val="100"/>
          <w:position w:val="0"/>
          <w:shd w:val="clear" w:color="auto" w:fill="auto"/>
          <w:lang w:val="ru-RU" w:eastAsia="ru-RU" w:bidi="ru-RU"/>
        </w:rPr>
        <w:t>41:х-1:о^@1тап8ро11.то8.ги</w:t>
      </w:r>
      <w:r>
        <w:fldChar w:fldCharType="end"/>
      </w:r>
    </w:p>
    <w:p>
      <w:pPr>
        <w:pStyle w:val="Style9"/>
        <w:keepNext w:val="0"/>
        <w:keepLines w:val="0"/>
        <w:widowControl w:val="0"/>
        <w:shd w:val="clear" w:color="auto" w:fill="auto"/>
        <w:bidi w:val="0"/>
        <w:spacing w:before="0" w:after="0" w:line="211" w:lineRule="auto"/>
        <w:ind w:left="0" w:right="0" w:firstLine="320"/>
        <w:jc w:val="left"/>
      </w:pPr>
      <w:r>
        <w:rPr>
          <w:color w:val="000000"/>
          <w:spacing w:val="0"/>
          <w:w w:val="100"/>
          <w:position w:val="0"/>
          <w:shd w:val="clear" w:color="auto" w:fill="auto"/>
          <w:lang w:val="ru-RU" w:eastAsia="ru-RU" w:bidi="ru-RU"/>
        </w:rPr>
        <w:t>ПАО «БАНК УРАЛСИБ»</w:t>
      </w:r>
    </w:p>
    <w:p>
      <w:pPr>
        <w:pStyle w:val="Style9"/>
        <w:keepNext w:val="0"/>
        <w:keepLines w:val="0"/>
        <w:widowControl w:val="0"/>
        <w:shd w:val="clear" w:color="auto" w:fill="auto"/>
        <w:bidi w:val="0"/>
        <w:spacing w:before="0" w:after="260" w:line="211" w:lineRule="auto"/>
        <w:ind w:left="0" w:right="0" w:firstLine="320"/>
        <w:jc w:val="left"/>
      </w:pPr>
      <w:r>
        <w:rPr>
          <w:color w:val="000000"/>
          <w:spacing w:val="0"/>
          <w:w w:val="100"/>
          <w:position w:val="0"/>
          <w:shd w:val="clear" w:color="auto" w:fill="auto"/>
          <w:lang w:val="ru-RU" w:eastAsia="ru-RU" w:bidi="ru-RU"/>
        </w:rPr>
        <w:t>дагап1и@ига18й.ги</w:t>
      </w:r>
    </w:p>
    <w:p>
      <w:pPr>
        <w:pStyle w:val="Style9"/>
        <w:keepNext w:val="0"/>
        <w:keepLines w:val="0"/>
        <w:widowControl w:val="0"/>
        <w:shd w:val="clear" w:color="auto" w:fill="auto"/>
        <w:bidi w:val="0"/>
        <w:spacing w:before="0" w:after="0" w:line="211" w:lineRule="auto"/>
        <w:ind w:left="0" w:right="0" w:firstLine="320"/>
        <w:jc w:val="left"/>
      </w:pPr>
      <w:r>
        <w:rPr>
          <w:color w:val="000000"/>
          <w:spacing w:val="0"/>
          <w:w w:val="100"/>
          <w:position w:val="0"/>
          <w:shd w:val="clear" w:color="auto" w:fill="auto"/>
          <w:lang w:val="ru-RU" w:eastAsia="ru-RU" w:bidi="ru-RU"/>
        </w:rPr>
        <w:t>АО «ЕЭТП»</w:t>
      </w:r>
    </w:p>
    <w:p>
      <w:pPr>
        <w:pStyle w:val="Style9"/>
        <w:keepNext w:val="0"/>
        <w:keepLines w:val="0"/>
        <w:widowControl w:val="0"/>
        <w:shd w:val="clear" w:color="auto" w:fill="auto"/>
        <w:bidi w:val="0"/>
        <w:spacing w:before="0" w:after="840" w:line="211" w:lineRule="auto"/>
        <w:ind w:left="0" w:right="0" w:firstLine="320"/>
        <w:jc w:val="left"/>
      </w:pPr>
      <w:r>
        <w:rPr>
          <w:color w:val="000000"/>
          <w:spacing w:val="0"/>
          <w:w w:val="100"/>
          <w:position w:val="0"/>
          <w:shd w:val="clear" w:color="auto" w:fill="auto"/>
          <w:lang w:val="ru-RU" w:eastAsia="ru-RU" w:bidi="ru-RU"/>
        </w:rPr>
        <w:t>ко@го8екогд.ги</w:t>
      </w:r>
    </w:p>
    <w:p>
      <w:pPr>
        <w:pStyle w:val="Style9"/>
        <w:keepNext w:val="0"/>
        <w:keepLines w:val="0"/>
        <w:widowControl w:val="0"/>
        <w:shd w:val="clear" w:color="auto" w:fill="auto"/>
        <w:tabs>
          <w:tab w:pos="8947"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br/>
        <w:t>по делу № 077/06/106-13257/2024 о нарушении</w:t>
        <w:br/>
        <w:t>законодательства о контрактной системе</w:t>
        <w:br/>
        <w:t>02.10.2024</w:t>
        <w:tab/>
        <w:t>г. Москва</w:t>
      </w:r>
    </w:p>
    <w:p>
      <w:pPr>
        <w:pStyle w:val="Style9"/>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 Председательствующего - заместителя начальника отдела обжалования государственных закупок Е.А. Мироновой, Членов Комиссии: Ведущего специалиста-эксперта отдела обжалования государственных закупок М.О. Мацневой, Специалиста-эксперта отдела обжалования государственных закупок М.В. Сорбучевой, рассмотрение жалобы проводилось дистанционно (посредством видеоконференцсвязи), при участии представителей: ООО СТК «ДОРТРАНС»: Гильдиной Т.Д. (по доверенности № б/н от 01.10.2024);</w:t>
      </w:r>
    </w:p>
    <w:p>
      <w:pPr>
        <w:pStyle w:val="Style9"/>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ГКУ г. Москвы «Администратор Московского парковочного пространства» и ГКУ «ДТЗ»: Сметанина Д.С. (по доверенности № ДТЗ-04-01-01-25/24 от 17.04.2024); в отсутствие представителей ПАО «БАНК УРАЛСИБ», о времени и порядке заседания Комиссии Управления уведомлены надлежащим образом посредством функционала Единой информационной системы,</w:t>
      </w:r>
    </w:p>
    <w:p>
      <w:pPr>
        <w:pStyle w:val="Style9"/>
        <w:keepNext w:val="0"/>
        <w:keepLines w:val="0"/>
        <w:widowControl w:val="0"/>
        <w:shd w:val="clear" w:color="auto" w:fill="auto"/>
        <w:bidi w:val="0"/>
        <w:spacing w:before="0" w:after="260" w:line="240" w:lineRule="auto"/>
        <w:ind w:left="0" w:right="0" w:firstLine="700"/>
        <w:jc w:val="left"/>
      </w:pPr>
      <w:r>
        <w:rPr>
          <w:color w:val="000000"/>
          <w:spacing w:val="0"/>
          <w:w w:val="100"/>
          <w:position w:val="0"/>
          <w:shd w:val="clear" w:color="auto" w:fill="auto"/>
          <w:lang w:val="ru-RU" w:eastAsia="ru-RU" w:bidi="ru-RU"/>
        </w:rPr>
        <w:t>рассмотрев жалобу ООО СТК «ДОРТРАНС» (далее — Заявитель) на действия ГКУ г. Москвы «Администратор Московского парковочного пространства» (далее — Заказчик) при проведении электронного аукциона на право заключения контракта на</w:t>
      </w:r>
    </w:p>
    <w:p>
      <w:pPr>
        <w:pStyle w:val="Style18"/>
        <w:keepNext/>
        <w:keepLines/>
        <w:widowControl w:val="0"/>
        <w:shd w:val="clear" w:color="auto" w:fill="auto"/>
        <w:bidi w:val="0"/>
        <w:spacing w:before="0" w:after="240" w:line="240" w:lineRule="auto"/>
        <w:ind w:left="0" w:right="0"/>
        <w:jc w:val="both"/>
        <w:rPr>
          <w:sz w:val="28"/>
          <w:szCs w:val="28"/>
        </w:rPr>
      </w:pPr>
      <w:bookmarkStart w:id="0" w:name="bookmark0"/>
      <w:r>
        <w:rPr>
          <w:color w:val="000000"/>
          <w:spacing w:val="0"/>
          <w:w w:val="100"/>
          <w:position w:val="0"/>
          <w:sz w:val="34"/>
          <w:szCs w:val="34"/>
          <w:shd w:val="clear" w:color="auto" w:fill="auto"/>
          <w:lang w:val="ru-RU" w:eastAsia="ru-RU" w:bidi="ru-RU"/>
        </w:rPr>
        <w:t>||||||||||||||||||||||||||||</w:t>
      </w:r>
      <w:bookmarkEnd w:id="0"/>
      <w:r>
        <w:rPr>
          <w:color w:val="000000"/>
          <w:spacing w:val="0"/>
          <w:w w:val="100"/>
          <w:position w:val="0"/>
          <w:sz w:val="34"/>
          <w:szCs w:val="34"/>
          <w:shd w:val="clear" w:color="auto" w:fill="auto"/>
          <w:lang w:val="ru-RU" w:eastAsia="ru-RU" w:bidi="ru-RU"/>
        </w:rPr>
        <w:t xml:space="preserve"> </w:t>
      </w:r>
      <w:r>
        <w:rPr>
          <w:rStyle w:val="CharStyle10"/>
        </w:rPr>
        <w:t>выполнение работ по обустройству земельного участка по адресу: г. Москва, Ореховый бульвар, влд.39 (Закупка №0373200082124000646) (далее -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9"/>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при проведении вышеуказанного аукциона.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заседании Комиссии Управления Заказчиком представлены документы и сведения, запрашиваемые Московским УФАС России.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составе жалобы Заявитель указывает, что комиссией по осуществлению закупок Заказчика нарушены нормы Закона о контрактной системе в результате отклонения заявки Заявителя.</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протоколу подведения итогов определения поставщика (подрядчика, исполнителя) от 25.09.2024 №ИЭА1 заявка ООО СТК «ДОРТРАНС», с идентификационным номером 1079725, отклонена на следующем основании: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Основание отклонения: п. 7 ч.12 ст.48 44-ФЗ, п.18.1 информационной карты</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Независимая гарантия, представленная в качестве обеспечения заявки, не соответствует типовой форме, предусмотренной Постановлением Правительства РФ от 08.11.2013 г. № 1005.</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В представленной гарантии неверно указан адрес электронной почты бенефициара:</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ЛШогд1@1гап8рог1.то8.ги, тогда как в п.2.1 информационной карты указан адрес:</w:t>
      </w:r>
    </w:p>
    <w:p>
      <w:pPr>
        <w:pStyle w:val="Style9"/>
        <w:keepNext w:val="0"/>
        <w:keepLines w:val="0"/>
        <w:widowControl w:val="0"/>
        <w:shd w:val="clear" w:color="auto" w:fill="auto"/>
        <w:bidi w:val="0"/>
        <w:spacing w:before="0" w:after="0" w:line="240" w:lineRule="auto"/>
        <w:ind w:left="0" w:right="0" w:firstLine="700"/>
        <w:jc w:val="both"/>
      </w:pPr>
      <w:r>
        <w:rPr>
          <w:i/>
          <w:iCs/>
          <w:color w:val="000000"/>
          <w:spacing w:val="0"/>
          <w:w w:val="100"/>
          <w:position w:val="0"/>
          <w:shd w:val="clear" w:color="auto" w:fill="auto"/>
          <w:lang w:val="ru-RU" w:eastAsia="ru-RU" w:bidi="ru-RU"/>
        </w:rPr>
        <w:t>Жх-1огд1@1гап8рог1.то8. ги».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ч.1 ст.44 Закона о контрактной системе при проведении конкурентных способов заказчик обязан установить требование обеспечения заявок на участие в закупке. Заказчик вправе не устанавливать такое требование в случае, если начальная (максимальная) цена контракта не превышает один миллион рублей.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п.16 ч.1 ст.42 Закона о контрактной системе извещение об осуществлении закупки должно содержать размер и порядок внесения денежных средств в качестве обеспечения заявки на участие в закупке, условия независимой гарантии (если требование обеспечения заявки установлено в соответствии со ст.44 Закона о контрактной системе), реквизиты счета, на котором в соответствии с законодательством Российской Федерации учитываются операции со средствами, поступающими заказчику, реквизиты счета для перечисления денежных средств в случае, предусмотренном ч.13 ст.44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Комиссией Управления определено, что в составе извещения Заказчиком установлено требование о наличии обеспечения заявки на участие в закупке.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Также в п.18.1 Информационной карты извещения Заказчиком установлены </w:t>
      </w:r>
      <w:r>
        <w:rPr>
          <w:color w:val="000000"/>
          <w:spacing w:val="0"/>
          <w:w w:val="100"/>
          <w:position w:val="0"/>
          <w:shd w:val="clear" w:color="auto" w:fill="auto"/>
          <w:lang w:val="ru-RU" w:eastAsia="ru-RU" w:bidi="ru-RU"/>
        </w:rPr>
        <w:t>условия независимой гарантии, предоставляемой в качестве обеспечения заявки:</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w:t>
      </w:r>
      <w:r>
        <w:rPr>
          <w:i/>
          <w:iCs/>
          <w:color w:val="000000"/>
          <w:spacing w:val="0"/>
          <w:w w:val="100"/>
          <w:position w:val="0"/>
          <w:shd w:val="clear" w:color="auto" w:fill="auto"/>
          <w:lang w:val="ru-RU" w:eastAsia="ru-RU" w:bidi="ru-RU"/>
        </w:rPr>
        <w:t>Независимая гарантия, выданная участнику закупки банком, государственной корпорацией развития «ВЭБ.РФ», фондами содействия кредитованию, Евразийским банком развития (если участник закупки является юридическим лицом, зарегистрированным на территории государства - члена Евразийского экономического союза, за исключением Российской Федерации, или физическим лицом, являющимся гражданином государства - члена Евразийского экономического союза, за исключением Российской Федерации), для целей обеспечения заявки на участие в закупке, должна соответствовать требованиям статьи 45 Закона о контрактной системе, постановления Правительства Российской Федерации от 08.11.2013 г. № 1005.</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Независимая гарантия должна в том числе содержать:</w:t>
      </w:r>
    </w:p>
    <w:p>
      <w:pPr>
        <w:pStyle w:val="Style9"/>
        <w:keepNext w:val="0"/>
        <w:keepLines w:val="0"/>
        <w:widowControl w:val="0"/>
        <w:numPr>
          <w:ilvl w:val="0"/>
          <w:numId w:val="1"/>
        </w:numPr>
        <w:shd w:val="clear" w:color="auto" w:fill="auto"/>
        <w:tabs>
          <w:tab w:pos="965"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указание на то, что все споры по независимой гарантии подлежат рассмотрению в Арбитражном суде города Москвы.</w:t>
      </w:r>
    </w:p>
    <w:p>
      <w:pPr>
        <w:pStyle w:val="Style9"/>
        <w:keepNext w:val="0"/>
        <w:keepLines w:val="0"/>
        <w:widowControl w:val="0"/>
        <w:numPr>
          <w:ilvl w:val="0"/>
          <w:numId w:val="1"/>
        </w:numPr>
        <w:shd w:val="clear" w:color="auto" w:fill="auto"/>
        <w:tabs>
          <w:tab w:pos="965" w:val="left"/>
        </w:tabs>
        <w:bidi w:val="0"/>
        <w:spacing w:before="0" w:after="0" w:line="240" w:lineRule="auto"/>
        <w:ind w:left="0" w:right="0" w:firstLine="720"/>
        <w:jc w:val="both"/>
      </w:pPr>
      <w:r>
        <w:rPr>
          <w:i/>
          <w:iCs/>
          <w:color w:val="000000"/>
          <w:spacing w:val="0"/>
          <w:w w:val="100"/>
          <w:position w:val="0"/>
          <w:shd w:val="clear" w:color="auto" w:fill="auto"/>
          <w:lang w:val="ru-RU" w:eastAsia="ru-RU" w:bidi="ru-RU"/>
        </w:rPr>
        <w:t>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pPr>
        <w:pStyle w:val="Style9"/>
        <w:keepNext w:val="0"/>
        <w:keepLines w:val="0"/>
        <w:widowControl w:val="0"/>
        <w:shd w:val="clear" w:color="auto" w:fill="auto"/>
        <w:bidi w:val="0"/>
        <w:spacing w:before="0" w:after="0" w:line="240" w:lineRule="auto"/>
        <w:ind w:left="0" w:right="0" w:firstLine="720"/>
        <w:jc w:val="both"/>
      </w:pPr>
      <w:r>
        <w:rPr>
          <w:i/>
          <w:iCs/>
          <w:color w:val="000000"/>
          <w:spacing w:val="0"/>
          <w:w w:val="100"/>
          <w:position w:val="0"/>
          <w:shd w:val="clear" w:color="auto" w:fill="auto"/>
          <w:lang w:val="ru-RU" w:eastAsia="ru-RU" w:bidi="ru-RU"/>
        </w:rPr>
        <w:t>Срок действия независимой гарантии, предоставленной в качестве обеспечения заявки, должен составлять не менее месяца с даты окончания срока подачи заявок.</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ч.4 ст.44 Закона о контрактной системе обеспечение заявки на участие в закупке может предоставляться участником закупки в виде денежных средств или независимой гарантии, предусмотренной ст.45 Закона о контрактной системе. Выбор способа обеспечения осуществляется участником закупки самостоятельно. Срок действия независимой гарантии должен составлять не менее месяца с даты окончания срока подачи заявок.</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пп.«б» п.1 ч.5 ст.44 Закона о контрактной системе при проведении электронных процедур обеспечение заявки на участие в закупке предоставляется, в том числе, посредством предоставления независимой гарантии, соответствующей требованиям ст.45 Закона о контрактной системе.</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Заявителем в качестве обеспечения заявки представлена независимая гарантия № 9991-4К1/1758972 от 20.09.2024, выданная ПАО «БАНК УРАЛСИБ» (далее — независимая гарантия).</w:t>
      </w:r>
    </w:p>
    <w:p>
      <w:pPr>
        <w:pStyle w:val="Style9"/>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ч.8.2 ст.45 Закона о контрактной системе, дополнительные требования к независимой гарантии, используемой для целей Закона о контрактной системе, порядок ведения и размещения в единой информационной системе реестра независимых гарантий, порядок формирования и ведения закрытого реестра независимых гарантий, в том числе включения в него информации, порядок и сроки предоставления выписок из него, типовая форма независимой гарантии, используемой для целей Закона о контрактной системе, форма требования об уплате денежной суммы по независимой гарантии устанавливаются Правительством Российской Федерации.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ч.5 ст.45 Закона о контрактной системе Заказчик рассматривает поступившую независимую гарантию в срок, не превышающий трех рабочих дней со дня ее поступления, если Законом о контрактной системе не установлено иное.</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ч.6 ст.45 Закона о контрактной системе основанием для отказа в принятии банковской гарантии заказчиком является:</w:t>
      </w:r>
    </w:p>
    <w:p>
      <w:pPr>
        <w:pStyle w:val="Style9"/>
        <w:keepNext w:val="0"/>
        <w:keepLines w:val="0"/>
        <w:widowControl w:val="0"/>
        <w:numPr>
          <w:ilvl w:val="0"/>
          <w:numId w:val="3"/>
        </w:numPr>
        <w:shd w:val="clear" w:color="auto" w:fill="auto"/>
        <w:tabs>
          <w:tab w:pos="110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отсутствие информации о независимой гарантии в предусмотренных настоящей статьей реестрах независимых гарантий;</w:t>
      </w:r>
    </w:p>
    <w:p>
      <w:pPr>
        <w:pStyle w:val="Style9"/>
        <w:keepNext w:val="0"/>
        <w:keepLines w:val="0"/>
        <w:widowControl w:val="0"/>
        <w:numPr>
          <w:ilvl w:val="0"/>
          <w:numId w:val="3"/>
        </w:numPr>
        <w:shd w:val="clear" w:color="auto" w:fill="auto"/>
        <w:tabs>
          <w:tab w:pos="110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несоответствие независимой гарантии требованиям, предусмотренным частями 2, 3 и 8.2 ст.45 Закона о контрактной системе;</w:t>
      </w:r>
    </w:p>
    <w:p>
      <w:pPr>
        <w:pStyle w:val="Style9"/>
        <w:keepNext w:val="0"/>
        <w:keepLines w:val="0"/>
        <w:widowControl w:val="0"/>
        <w:numPr>
          <w:ilvl w:val="0"/>
          <w:numId w:val="3"/>
        </w:numPr>
        <w:shd w:val="clear" w:color="auto" w:fill="auto"/>
        <w:tabs>
          <w:tab w:pos="110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несоответствие независимой гарантии требованиям, содержащимся в извещении об осуществлении закупки, приглашении, документации о закупке (в случае, если Законом о контрактной системе предусмотрена документация о закупке), проекте контракта, который заключается с единственным поставщиком (подрядчиком, исполнителем).</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На заседании Комиссии Управления представитель Заказчика пояснил, что в независимой гарантии, представленной ООО СТК «ДОРТРАНС» в разделе «Место нахождения, телефон, адрес электронной почты бенефициара» указан некорректный адрес электронной почты бенефициара.</w:t>
      </w:r>
    </w:p>
    <w:p>
      <w:pPr>
        <w:pStyle w:val="Style9"/>
        <w:keepNext w:val="0"/>
        <w:keepLines w:val="0"/>
        <w:widowControl w:val="0"/>
        <w:numPr>
          <w:ilvl w:val="0"/>
          <w:numId w:val="3"/>
        </w:numPr>
        <w:shd w:val="clear" w:color="auto" w:fill="auto"/>
        <w:tabs>
          <w:tab w:pos="1184"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гласно п.2.1 информационной карты аукциона в электронной форме электронная почта (бенефициара) &amp;х-1огд1@1гап8рог1.то8.ги.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Комиссией Управления установлено, что в независимой гарантии, представленной ООО СТК «ДОРТРАНС», в том числе указано: «Место нахождения, телефон, адрес электронной почты бенефициара: 125040, Российская Федерация, Г.МОСКВА, СКАКОВАЯ УЛ., Д.19, +7 (495) 622-24-81, </w:t>
      </w:r>
      <w:r>
        <w:rPr>
          <w:b/>
          <w:bCs/>
          <w:color w:val="000000"/>
          <w:spacing w:val="0"/>
          <w:w w:val="100"/>
          <w:position w:val="0"/>
          <w:shd w:val="clear" w:color="auto" w:fill="auto"/>
          <w:lang w:val="ru-RU" w:eastAsia="ru-RU" w:bidi="ru-RU"/>
        </w:rPr>
        <w:t>(((/(огдАМгапчроН.точ.ги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п.1 Постановления Правительства Российской Федерации от 08.11.2013 № 1005 «О независимых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 1005) утверждены:</w:t>
      </w:r>
    </w:p>
    <w:p>
      <w:pPr>
        <w:pStyle w:val="Style9"/>
        <w:keepNext w:val="0"/>
        <w:keepLines w:val="0"/>
        <w:widowControl w:val="0"/>
        <w:numPr>
          <w:ilvl w:val="0"/>
          <w:numId w:val="5"/>
        </w:numPr>
        <w:shd w:val="clear" w:color="auto" w:fill="auto"/>
        <w:tabs>
          <w:tab w:pos="140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дополнительные требования к независимой гарантии, используемой для целей Закона о контрактной системы (далее - Дополнительные требования);</w:t>
      </w:r>
    </w:p>
    <w:p>
      <w:pPr>
        <w:pStyle w:val="Style9"/>
        <w:keepNext w:val="0"/>
        <w:keepLines w:val="0"/>
        <w:widowControl w:val="0"/>
        <w:numPr>
          <w:ilvl w:val="0"/>
          <w:numId w:val="5"/>
        </w:numPr>
        <w:shd w:val="clear" w:color="auto" w:fill="auto"/>
        <w:tabs>
          <w:tab w:pos="140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перечень документов, представляемых заказчиком гаранту одновременно с требованием об осуществлении уплаты денежной суммы по независимой гарантии, правила ведения и размещения в ЕИС реестра независимых гарантий;</w:t>
      </w:r>
    </w:p>
    <w:p>
      <w:pPr>
        <w:pStyle w:val="Style9"/>
        <w:keepNext w:val="0"/>
        <w:keepLines w:val="0"/>
        <w:widowControl w:val="0"/>
        <w:numPr>
          <w:ilvl w:val="0"/>
          <w:numId w:val="5"/>
        </w:numPr>
        <w:shd w:val="clear" w:color="auto" w:fill="auto"/>
        <w:tabs>
          <w:tab w:pos="1407" w:val="left"/>
          <w:tab w:pos="209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форма требования об осуществлении уплаты денежной суммы по</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независимой гарантии;</w:t>
      </w:r>
    </w:p>
    <w:p>
      <w:pPr>
        <w:pStyle w:val="Style9"/>
        <w:keepNext w:val="0"/>
        <w:keepLines w:val="0"/>
        <w:widowControl w:val="0"/>
        <w:numPr>
          <w:ilvl w:val="0"/>
          <w:numId w:val="5"/>
        </w:numPr>
        <w:shd w:val="clear" w:color="auto" w:fill="auto"/>
        <w:tabs>
          <w:tab w:pos="1407" w:val="left"/>
          <w:tab w:pos="2056" w:val="left"/>
        </w:tabs>
        <w:bidi w:val="0"/>
        <w:spacing w:before="0" w:after="0" w:line="240" w:lineRule="auto"/>
        <w:ind w:left="0" w:right="0" w:firstLine="640"/>
        <w:jc w:val="both"/>
      </w:pPr>
      <w:r>
        <w:rPr>
          <w:color w:val="000000"/>
          <w:spacing w:val="0"/>
          <w:w w:val="100"/>
          <w:position w:val="0"/>
          <w:shd w:val="clear" w:color="auto" w:fill="auto"/>
          <w:lang w:val="ru-RU" w:eastAsia="ru-RU" w:bidi="ru-RU"/>
        </w:rPr>
        <w:t>правила формирования и ведения закрытого реестра независимых</w:t>
      </w:r>
    </w:p>
    <w:p>
      <w:pPr>
        <w:pStyle w:val="Style9"/>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гарантий;</w:t>
      </w:r>
    </w:p>
    <w:p>
      <w:pPr>
        <w:pStyle w:val="Style9"/>
        <w:keepNext w:val="0"/>
        <w:keepLines w:val="0"/>
        <w:widowControl w:val="0"/>
        <w:numPr>
          <w:ilvl w:val="0"/>
          <w:numId w:val="5"/>
        </w:numPr>
        <w:shd w:val="clear" w:color="auto" w:fill="auto"/>
        <w:tabs>
          <w:tab w:pos="1407" w:val="left"/>
        </w:tabs>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типовая форма независимой гарантии, предоставляемой в качестве обеспечения заявки на участие в закупке товара, работы, услуги для обеспечения </w:t>
      </w:r>
      <w:r>
        <w:rPr>
          <w:color w:val="000000"/>
          <w:spacing w:val="0"/>
          <w:w w:val="100"/>
          <w:position w:val="0"/>
          <w:shd w:val="clear" w:color="auto" w:fill="auto"/>
          <w:lang w:val="ru-RU" w:eastAsia="ru-RU" w:bidi="ru-RU"/>
        </w:rPr>
        <w:t>государственных и муниципальных нужд (далее - Типовая форма);</w:t>
      </w:r>
    </w:p>
    <w:p>
      <w:pPr>
        <w:pStyle w:val="Style9"/>
        <w:keepNext w:val="0"/>
        <w:keepLines w:val="0"/>
        <w:widowControl w:val="0"/>
        <w:numPr>
          <w:ilvl w:val="0"/>
          <w:numId w:val="5"/>
        </w:numPr>
        <w:shd w:val="clear" w:color="auto" w:fill="auto"/>
        <w:tabs>
          <w:tab w:pos="141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типовая форма независимой гарантии, предоставляемой в качестве обеспечения исполнения контракта.</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этим Типовой формой предусмотрено включение в независимую гарантию, в том числе, сведений о месте нахождения, телефоне, адресе электронной почты бенефициара.</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Комиссией Управления установлено, что в п.2.1 Информационной карты, размещенной в составе извещения указан, в том числе адрес электронной почты ГКУ г. Москвы «Администратор Московского парковочного пространства»:</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Адрес электронной почты:</w:t>
      </w:r>
    </w:p>
    <w:p>
      <w:pPr>
        <w:pStyle w:val="Style9"/>
        <w:keepNext w:val="0"/>
        <w:keepLines w:val="0"/>
        <w:widowControl w:val="0"/>
        <w:shd w:val="clear" w:color="auto" w:fill="auto"/>
        <w:bidi w:val="0"/>
        <w:spacing w:before="0" w:after="0" w:line="240" w:lineRule="auto"/>
        <w:ind w:left="0" w:right="0" w:firstLine="680"/>
        <w:jc w:val="both"/>
      </w:pPr>
      <w:r>
        <w:rPr>
          <w:b/>
          <w:bCs/>
          <w:color w:val="000000"/>
          <w:spacing w:val="0"/>
          <w:w w:val="100"/>
          <w:position w:val="0"/>
          <w:shd w:val="clear" w:color="auto" w:fill="auto"/>
          <w:lang w:val="ru-RU" w:eastAsia="ru-RU" w:bidi="ru-RU"/>
        </w:rPr>
        <w:t>(11/-й)гд1@1тап*р()1Д.т()*.ги</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При этом Комиссия Управления отмечает, что в проекте контракта, размещенного в составе извещения данной закупочной процедуры, также указан адрес электронной почты Заказчика: </w:t>
      </w:r>
      <w:r>
        <w:rPr>
          <w:b/>
          <w:bCs/>
          <w:color w:val="000000"/>
          <w:spacing w:val="0"/>
          <w:w w:val="100"/>
          <w:position w:val="0"/>
          <w:shd w:val="clear" w:color="auto" w:fill="auto"/>
          <w:lang w:val="ru-RU" w:eastAsia="ru-RU" w:bidi="ru-RU"/>
        </w:rPr>
        <w:t>(11/-й)гд1@1тап*р()1Д.т()*.ги</w:t>
      </w:r>
      <w:r>
        <w:rPr>
          <w:color w:val="000000"/>
          <w:spacing w:val="0"/>
          <w:w w:val="100"/>
          <w:position w:val="0"/>
          <w:shd w:val="clear" w:color="auto" w:fill="auto"/>
          <w:lang w:val="ru-RU" w:eastAsia="ru-RU" w:bidi="ru-RU"/>
        </w:rPr>
        <w:t>.</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Комиссия Управления приходит к выводу, что представленная Заявителем Независимая гарантия не соответствует требованиям извещения.</w:t>
      </w:r>
    </w:p>
    <w:p>
      <w:pPr>
        <w:pStyle w:val="Style9"/>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9"/>
        <w:keepNext w:val="0"/>
        <w:keepLines w:val="0"/>
        <w:widowControl w:val="0"/>
        <w:numPr>
          <w:ilvl w:val="0"/>
          <w:numId w:val="7"/>
        </w:numPr>
        <w:shd w:val="clear" w:color="auto" w:fill="auto"/>
        <w:tabs>
          <w:tab w:pos="1088"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088"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9"/>
        <w:keepNext w:val="0"/>
        <w:keepLines w:val="0"/>
        <w:widowControl w:val="0"/>
        <w:numPr>
          <w:ilvl w:val="0"/>
          <w:numId w:val="7"/>
        </w:numPr>
        <w:shd w:val="clear" w:color="auto" w:fill="auto"/>
        <w:tabs>
          <w:tab w:pos="1088"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9"/>
        <w:keepNext w:val="0"/>
        <w:keepLines w:val="0"/>
        <w:widowControl w:val="0"/>
        <w:numPr>
          <w:ilvl w:val="0"/>
          <w:numId w:val="7"/>
        </w:numPr>
        <w:shd w:val="clear" w:color="auto" w:fill="auto"/>
        <w:tabs>
          <w:tab w:pos="1088"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9"/>
        <w:keepNext w:val="0"/>
        <w:keepLines w:val="0"/>
        <w:widowControl w:val="0"/>
        <w:numPr>
          <w:ilvl w:val="0"/>
          <w:numId w:val="7"/>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9"/>
        <w:keepNext w:val="0"/>
        <w:keepLines w:val="0"/>
        <w:widowControl w:val="0"/>
        <w:numPr>
          <w:ilvl w:val="0"/>
          <w:numId w:val="7"/>
        </w:numPr>
        <w:shd w:val="clear" w:color="auto" w:fill="auto"/>
        <w:tabs>
          <w:tab w:pos="1066"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9"/>
        <w:keepNext w:val="0"/>
        <w:keepLines w:val="0"/>
        <w:widowControl w:val="0"/>
        <w:numPr>
          <w:ilvl w:val="0"/>
          <w:numId w:val="7"/>
        </w:numPr>
        <w:shd w:val="clear" w:color="auto" w:fill="auto"/>
        <w:tabs>
          <w:tab w:pos="173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предусмотренных ч.6 ст. 45 Закона о контрактной системе;</w:t>
      </w:r>
    </w:p>
    <w:p>
      <w:pPr>
        <w:pStyle w:val="Style9"/>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9"/>
        <w:keepNext w:val="0"/>
        <w:keepLines w:val="0"/>
        <w:widowControl w:val="0"/>
        <w:numPr>
          <w:ilvl w:val="0"/>
          <w:numId w:val="7"/>
        </w:numPr>
        <w:shd w:val="clear" w:color="auto" w:fill="auto"/>
        <w:tabs>
          <w:tab w:pos="106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Комиссия Управления, на основании представленных документов и сведений приходит к выводу о том, что решение комиссии по осуществлению закупок Заказчика об отклонении заявки ООО СТК «ДОРТРАНС» по основанию, отраженному в протоколе, является правомерным и принято в соответствии с Законом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что доводы жалобы не нашли своего подтверждения и являются необоснованными.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Одновременно с этим в ходе проведения внеплановой проверки Комиссией Управления установлено следующее.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Типовая форма утверждена постановлением Правительства Российской Федерации от 09.08.2022 №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заключаемого по результатам такой закупки, а также о внесении изменений в некоторые акты Правительства Российской Федерации».</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Вместе с этим, как установлено Комиссией Управления в тексте независимой гарантий присутствует несоответствующее требованиям извещения положение, в части указания адреса электронной почты бенефициара.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независимая гарантия выдана Заявителю 20.09.2024, что указывает на то, что на момент выдачи независимой гарантии Заявителю Типовая форма независимой гарантии, предоставляемой в качестве обеспечения исполнения заявки на участие в закупке, является обязательной.</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Комиссия приходит к выводу, что</w:t>
        <w:br w:type="page"/>
      </w:r>
      <w:r>
        <w:rPr>
          <w:color w:val="000000"/>
          <w:spacing w:val="0"/>
          <w:w w:val="100"/>
          <w:position w:val="0"/>
          <w:shd w:val="clear" w:color="auto" w:fill="auto"/>
          <w:lang w:val="ru-RU" w:eastAsia="ru-RU" w:bidi="ru-RU"/>
        </w:rPr>
        <w:t>независимая гарантия, выданная ПАО «БАНК УРАЛСИБ», не соответствует требованиям Типовой формы, так как указанный в независимой гарантии адрес электронной почты не соотносится с адресом электронной почты бенефициара, указанным в извещении закупочной процедуры, проекта контракта.</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вышеуказанные действия ПАО «БАНК УРАЛСИБ» нарушают ч.8.2 ст.45 Закона о контрактной системе.</w:t>
      </w:r>
    </w:p>
    <w:p>
      <w:pPr>
        <w:pStyle w:val="Style9"/>
        <w:keepNext w:val="0"/>
        <w:keepLines w:val="0"/>
        <w:widowControl w:val="0"/>
        <w:shd w:val="clear" w:color="auto" w:fill="auto"/>
        <w:bidi w:val="0"/>
        <w:spacing w:before="0" w:after="200" w:line="240" w:lineRule="auto"/>
        <w:ind w:left="0" w:right="0" w:firstLine="70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9"/>
        <w:keepNext w:val="0"/>
        <w:keepLines w:val="0"/>
        <w:widowControl w:val="0"/>
        <w:shd w:val="clear" w:color="auto" w:fill="auto"/>
        <w:bidi w:val="0"/>
        <w:spacing w:before="0" w:after="30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9"/>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жалобу ООО СТК «ДОРТРАНС» на действия комиссии по осуществлению закупок ГКУ г. Москвы «Администратор Московского парковочного пространства» необоснованной.</w:t>
      </w:r>
    </w:p>
    <w:p>
      <w:pPr>
        <w:pStyle w:val="Style9"/>
        <w:keepNext w:val="0"/>
        <w:keepLines w:val="0"/>
        <w:widowControl w:val="0"/>
        <w:numPr>
          <w:ilvl w:val="0"/>
          <w:numId w:val="9"/>
        </w:numPr>
        <w:shd w:val="clear" w:color="auto" w:fill="auto"/>
        <w:tabs>
          <w:tab w:pos="1411"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в действиях ПАО «БАНК УРАЛСИБ» нарушения ч.8.2 ст.45 Закона о контрактной системе.</w:t>
      </w:r>
    </w:p>
    <w:p>
      <w:pPr>
        <w:pStyle w:val="Style9"/>
        <w:keepNext w:val="0"/>
        <w:keepLines w:val="0"/>
        <w:widowControl w:val="0"/>
        <w:numPr>
          <w:ilvl w:val="0"/>
          <w:numId w:val="9"/>
        </w:numPr>
        <w:shd w:val="clear" w:color="auto" w:fill="auto"/>
        <w:tabs>
          <w:tab w:pos="1411" w:val="left"/>
        </w:tabs>
        <w:bidi w:val="0"/>
        <w:spacing w:before="0" w:after="300" w:line="240" w:lineRule="auto"/>
        <w:ind w:left="0" w:right="0" w:firstLine="700"/>
        <w:jc w:val="both"/>
      </w:pPr>
      <w:r>
        <w:rPr>
          <w:color w:val="000000"/>
          <w:spacing w:val="0"/>
          <w:w w:val="100"/>
          <w:position w:val="0"/>
          <w:shd w:val="clear" w:color="auto" w:fill="auto"/>
          <w:lang w:val="ru-RU" w:eastAsia="ru-RU" w:bidi="ru-RU"/>
        </w:rPr>
        <w:t>Выдать Заказчику, Оператору электронной площадки, ПАО «БАНК УРАЛСИБ» предписание об устранении выявленного нарушения Закона о контрактной системе.</w:t>
      </w:r>
    </w:p>
    <w:p>
      <w:pPr>
        <w:pStyle w:val="Style9"/>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Решение может быть обжаловано в суде (Арбитражном суде г. Москвы) в порядке, установленном гл. 24 АПК РФ, в течение 3(трех) месяцев с даты его принятия.</w:t>
      </w:r>
    </w:p>
    <w:p>
      <w:pPr>
        <w:widowControl w:val="0"/>
        <w:spacing w:line="1" w:lineRule="exact"/>
        <w:sectPr>
          <w:footnotePr>
            <w:pos w:val="pageBottom"/>
            <w:numFmt w:val="decimal"/>
            <w:numRestart w:val="continuous"/>
          </w:footnotePr>
          <w:type w:val="continuous"/>
          <w:pgSz w:w="11900" w:h="16840"/>
          <w:pgMar w:top="1002" w:right="527" w:bottom="982" w:left="1087" w:header="0" w:footer="3" w:gutter="0"/>
          <w:cols w:space="720"/>
          <w:noEndnote/>
          <w:rtlGutter w:val="0"/>
          <w:docGrid w:linePitch="360"/>
        </w:sectPr>
      </w:pPr>
      <w:r>
        <mc:AlternateContent>
          <mc:Choice Requires="wps">
            <w:drawing>
              <wp:anchor distT="127000" distB="356235" distL="0" distR="0" simplePos="0" relativeHeight="125829383" behindDoc="0" locked="0" layoutInCell="1" allowOverlap="1">
                <wp:simplePos x="0" y="0"/>
                <wp:positionH relativeFrom="page">
                  <wp:posOffset>732790</wp:posOffset>
                </wp:positionH>
                <wp:positionV relativeFrom="paragraph">
                  <wp:posOffset>127000</wp:posOffset>
                </wp:positionV>
                <wp:extent cx="1850390" cy="250190"/>
                <wp:wrapTopAndBottom/>
                <wp:docPr id="15" name="Shape 15"/>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41" type="#_x0000_t202" style="position:absolute;margin-left:57.700000000000003pt;margin-top:10.pt;width:145.70000000000002pt;height:19.699999999999999pt;z-index:-125829370;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196850" distB="0" distL="0" distR="1786255" simplePos="0" relativeHeight="125829385" behindDoc="0" locked="0" layoutInCell="1" allowOverlap="1">
            <wp:simplePos x="0" y="0"/>
            <wp:positionH relativeFrom="page">
              <wp:posOffset>3042920</wp:posOffset>
            </wp:positionH>
            <wp:positionV relativeFrom="paragraph">
              <wp:posOffset>196850</wp:posOffset>
            </wp:positionV>
            <wp:extent cx="359410" cy="53657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359410"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3506470</wp:posOffset>
                </wp:positionH>
                <wp:positionV relativeFrom="paragraph">
                  <wp:posOffset>601980</wp:posOffset>
                </wp:positionV>
                <wp:extent cx="1280160" cy="100330"/>
                <wp:wrapNone/>
                <wp:docPr id="19" name="Shape 19"/>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76.10000000000002pt;margin-top:47.399999999999999pt;width:100.8pt;height:7.9000000000000004pt;z-index:251657729;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3463290</wp:posOffset>
                </wp:positionH>
                <wp:positionV relativeFrom="paragraph">
                  <wp:posOffset>288290</wp:posOffset>
                </wp:positionV>
                <wp:extent cx="1722120" cy="255905"/>
                <wp:wrapNone/>
                <wp:docPr id="21" name="Shape 2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2.69999999999999pt;margin-top:22.699999999999999pt;width:135.59999999999999pt;height:20.150000000000002pt;z-index:251657731;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235" distL="0" distR="0" simplePos="0" relativeHeight="125829386" behindDoc="0" locked="0" layoutInCell="1" allowOverlap="1">
                <wp:simplePos x="0" y="0"/>
                <wp:positionH relativeFrom="page">
                  <wp:posOffset>5981700</wp:posOffset>
                </wp:positionH>
                <wp:positionV relativeFrom="paragraph">
                  <wp:posOffset>127000</wp:posOffset>
                </wp:positionV>
                <wp:extent cx="1188720" cy="250190"/>
                <wp:wrapTopAndBottom/>
                <wp:docPr id="23" name="Shape 23"/>
                <a:graphic xmlns:a="http://schemas.openxmlformats.org/drawingml/2006/main">
                  <a:graphicData uri="http://schemas.microsoft.com/office/word/2010/wordprocessingShape">
                    <wps:wsp>
                      <wps:cNvSpPr txBox="1"/>
                      <wps:spPr>
                        <a:xfrm>
                          <a:ext cx="1188720" cy="25019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wps:txbx>
                      <wps:bodyPr wrap="none" lIns="0" tIns="0" rIns="0" bIns="0">
                        <a:noAutoFit/>
                      </wps:bodyPr>
                    </wps:wsp>
                  </a:graphicData>
                </a:graphic>
              </wp:anchor>
            </w:drawing>
          </mc:Choice>
          <mc:Fallback>
            <w:pict>
              <v:shape id="_x0000_s1049" type="#_x0000_t202" style="position:absolute;margin-left:471.pt;margin-top:10.pt;width:93.600000000000009pt;height:19.699999999999999pt;z-index:-125829367;mso-wrap-distance-left:0;mso-wrap-distance-top:10.pt;mso-wrap-distance-right:0;mso-wrap-distance-bottom:28.05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Е.А. Миронова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left="0" w:right="0" w:firstLine="0"/>
        <w:jc w:val="center"/>
        <w:rPr>
          <w:sz w:val="11"/>
          <w:szCs w:val="11"/>
        </w:rPr>
      </w:pPr>
      <w:r>
        <w:rPr>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Миронова Елена Александровна</w:t>
      </w:r>
    </w:p>
    <w:p>
      <w:pPr>
        <w:pStyle w:val="Style23"/>
        <w:keepNext w:val="0"/>
        <w:keepLines w:val="0"/>
        <w:widowControl w:val="0"/>
        <w:shd w:val="clear" w:color="auto" w:fill="auto"/>
        <w:bidi w:val="0"/>
        <w:spacing w:before="0" w:after="0" w:line="240" w:lineRule="auto"/>
        <w:ind w:right="0" w:firstLine="0"/>
        <w:jc w:val="both"/>
      </w:pPr>
      <w:r>
        <w:rPr>
          <w:color w:val="42424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24242"/>
          <w:spacing w:val="0"/>
          <w:w w:val="100"/>
          <w:position w:val="0"/>
          <w:shd w:val="clear" w:color="auto" w:fill="auto"/>
          <w:lang w:val="ru-RU" w:eastAsia="ru-RU" w:bidi="ru-RU"/>
        </w:rPr>
        <w:t>009Е4В25САЕ808Э44Е0В7ВЕ0438СО1</w:t>
      </w:r>
      <w:r>
        <w:rPr>
          <w:color w:val="000000"/>
          <w:spacing w:val="0"/>
          <w:w w:val="100"/>
          <w:position w:val="0"/>
          <w:shd w:val="clear" w:color="auto" w:fill="auto"/>
          <w:lang w:val="ru-RU" w:eastAsia="ru-RU" w:bidi="ru-RU"/>
        </w:rPr>
        <w:t>12В</w:t>
      </w:r>
      <w:r>
        <w:rPr>
          <w:color w:val="000000"/>
          <w:spacing w:val="0"/>
          <w:w w:val="100"/>
          <w:position w:val="0"/>
          <w:shd w:val="clear" w:color="auto" w:fill="auto"/>
          <w:lang w:val="ru-RU" w:eastAsia="ru-RU" w:bidi="ru-RU"/>
        </w:rPr>
        <w:t>4</w:t>
      </w:r>
    </w:p>
    <w:p>
      <w:pPr>
        <w:pStyle w:val="Style23"/>
        <w:keepNext w:val="0"/>
        <w:keepLines w:val="0"/>
        <w:widowControl w:val="0"/>
        <w:shd w:val="clear" w:color="auto" w:fill="auto"/>
        <w:bidi w:val="0"/>
        <w:spacing w:before="0" w:after="0" w:line="240" w:lineRule="auto"/>
        <w:ind w:right="0" w:firstLine="0"/>
        <w:jc w:val="both"/>
      </w:pPr>
      <w:r>
        <w:rPr>
          <w:spacing w:val="0"/>
          <w:w w:val="100"/>
          <w:position w:val="0"/>
          <w:shd w:val="clear" w:color="auto" w:fill="auto"/>
          <w:lang w:val="ru-RU" w:eastAsia="ru-RU" w:bidi="ru-RU"/>
        </w:rPr>
        <w:t xml:space="preserve">Действителен </w:t>
      </w:r>
      <w:r>
        <w:rPr>
          <w:color w:val="424242"/>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21.03.2024 по 14.06.2025</w:t>
      </w:r>
    </w:p>
    <w:p>
      <w:pPr>
        <w:widowControl w:val="0"/>
        <w:spacing w:line="1" w:lineRule="exact"/>
        <w:sectPr>
          <w:footnotePr>
            <w:pos w:val="pageBottom"/>
            <w:numFmt w:val="decimal"/>
            <w:numRestart w:val="continuous"/>
          </w:footnotePr>
          <w:type w:val="continuous"/>
          <w:pgSz w:w="11900" w:h="16840"/>
          <w:pgMar w:top="1162" w:right="536" w:bottom="1320" w:left="1106" w:header="0" w:footer="3" w:gutter="0"/>
          <w:cols w:space="720"/>
          <w:noEndnote/>
          <w:rtlGutter w:val="0"/>
          <w:docGrid w:linePitch="360"/>
        </w:sectPr>
      </w:pPr>
      <w:r>
        <mc:AlternateContent>
          <mc:Choice Requires="wps">
            <w:drawing>
              <wp:anchor distT="114300" distB="356870" distL="0" distR="0" simplePos="0" relativeHeight="125829388" behindDoc="0" locked="0" layoutInCell="1" allowOverlap="1">
                <wp:simplePos x="0" y="0"/>
                <wp:positionH relativeFrom="page">
                  <wp:posOffset>732790</wp:posOffset>
                </wp:positionH>
                <wp:positionV relativeFrom="paragraph">
                  <wp:posOffset>114300</wp:posOffset>
                </wp:positionV>
                <wp:extent cx="1341120" cy="252730"/>
                <wp:wrapTopAndBottom/>
                <wp:docPr id="25" name="Shape 25"/>
                <a:graphic xmlns:a="http://schemas.openxmlformats.org/drawingml/2006/main">
                  <a:graphicData uri="http://schemas.microsoft.com/office/word/2010/wordprocessingShape">
                    <wps:wsp>
                      <wps:cNvSpPr txBox="1"/>
                      <wps:spPr>
                        <a:xfrm>
                          <a:ext cx="1341120"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51" type="#_x0000_t202" style="position:absolute;margin-left:57.700000000000003pt;margin-top:9.pt;width:105.60000000000001pt;height:19.900000000000002pt;z-index:-125829365;mso-wrap-distance-left:0;mso-wrap-distance-top:9.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53670" distB="0" distL="0" distR="1786255" simplePos="0" relativeHeight="125829390" behindDoc="0" locked="0" layoutInCell="1" allowOverlap="1">
            <wp:simplePos x="0" y="0"/>
            <wp:positionH relativeFrom="page">
              <wp:posOffset>3012440</wp:posOffset>
            </wp:positionH>
            <wp:positionV relativeFrom="paragraph">
              <wp:posOffset>153670</wp:posOffset>
            </wp:positionV>
            <wp:extent cx="389890" cy="572770"/>
            <wp:wrapTopAndBottom/>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5"/>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3506470</wp:posOffset>
                </wp:positionH>
                <wp:positionV relativeFrom="paragraph">
                  <wp:posOffset>589280</wp:posOffset>
                </wp:positionV>
                <wp:extent cx="1280160" cy="103505"/>
                <wp:wrapNone/>
                <wp:docPr id="29" name="Shape 2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D6D6D6"/>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О СЕРТИФИКАТЕ ЭП</w:t>
                            </w:r>
                          </w:p>
                        </w:txbxContent>
                      </wps:txbx>
                      <wps:bodyPr lIns="0" tIns="0" rIns="0" bIns="0">
                        <a:noAutoFit/>
                      </wps:bodyPr>
                    </wps:wsp>
                  </a:graphicData>
                </a:graphic>
              </wp:anchor>
            </w:drawing>
          </mc:Choice>
          <mc:Fallback>
            <w:pict>
              <v:shape id="_x0000_s1055" type="#_x0000_t202" style="position:absolute;margin-left:276.10000000000002pt;margin-top:46.399999999999999pt;width:100.8pt;height:8.1500000000000004pt;z-index:251657733;mso-wrap-distance-left:0;mso-wrap-distance-right:0;mso-position-horizontal-relative:page" filled="f" stroked="f">
                <v:textbox inset="0,0,0,0">
                  <w:txbxContent>
                    <w:p>
                      <w:pPr>
                        <w:pStyle w:val="Style13"/>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D6D6D6"/>
                          <w:spacing w:val="0"/>
                          <w:w w:val="100"/>
                          <w:position w:val="0"/>
                          <w:sz w:val="11"/>
                          <w:szCs w:val="11"/>
                          <w:shd w:val="clear" w:color="auto" w:fill="auto"/>
                          <w:lang w:val="ru-RU" w:eastAsia="ru-RU" w:bidi="ru-RU"/>
                        </w:rPr>
                        <w:t xml:space="preserve">СВЕДЕНИЯ </w:t>
                      </w:r>
                      <w:r>
                        <w:rPr>
                          <w:rFonts w:ascii="Arial" w:eastAsia="Arial" w:hAnsi="Arial" w:cs="Arial"/>
                          <w:color w:val="FFFFFF"/>
                          <w:spacing w:val="0"/>
                          <w:w w:val="100"/>
                          <w:position w:val="0"/>
                          <w:sz w:val="11"/>
                          <w:szCs w:val="11"/>
                          <w:shd w:val="clear" w:color="auto" w:fill="auto"/>
                          <w:lang w:val="ru-RU" w:eastAsia="ru-RU" w:bidi="ru-RU"/>
                        </w:rPr>
                        <w:t>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3463290</wp:posOffset>
                </wp:positionH>
                <wp:positionV relativeFrom="paragraph">
                  <wp:posOffset>278765</wp:posOffset>
                </wp:positionV>
                <wp:extent cx="1722120" cy="255905"/>
                <wp:wrapNone/>
                <wp:docPr id="31" name="Shape 31"/>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72.69999999999999pt;margin-top:21.949999999999999pt;width:135.59999999999999pt;height:20.150000000000002pt;z-index:251657735;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356870" distL="0" distR="0" simplePos="0" relativeHeight="125829391" behindDoc="0" locked="0" layoutInCell="1" allowOverlap="1">
                <wp:simplePos x="0" y="0"/>
                <wp:positionH relativeFrom="page">
                  <wp:posOffset>6066790</wp:posOffset>
                </wp:positionH>
                <wp:positionV relativeFrom="paragraph">
                  <wp:posOffset>114300</wp:posOffset>
                </wp:positionV>
                <wp:extent cx="1124585" cy="252730"/>
                <wp:wrapTopAndBottom/>
                <wp:docPr id="33" name="Shape 33"/>
                <a:graphic xmlns:a="http://schemas.openxmlformats.org/drawingml/2006/main">
                  <a:graphicData uri="http://schemas.microsoft.com/office/word/2010/wordprocessingShape">
                    <wps:wsp>
                      <wps:cNvSpPr txBox="1"/>
                      <wps:spPr>
                        <a:xfrm>
                          <a:ext cx="1124585" cy="252730"/>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wps:txbx>
                      <wps:bodyPr wrap="none" lIns="0" tIns="0" rIns="0" bIns="0">
                        <a:noAutoFit/>
                      </wps:bodyPr>
                    </wps:wsp>
                  </a:graphicData>
                </a:graphic>
              </wp:anchor>
            </w:drawing>
          </mc:Choice>
          <mc:Fallback>
            <w:pict>
              <v:shape id="_x0000_s1059" type="#_x0000_t202" style="position:absolute;margin-left:477.69999999999999pt;margin-top:9.pt;width:88.549999999999997pt;height:19.900000000000002pt;z-index:-125829362;mso-wrap-distance-left:0;mso-wrap-distance-top:9.pt;mso-wrap-distance-right:0;mso-wrap-distance-bottom:28.100000000000001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М.О. Мацнева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84848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color w:val="42424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424242"/>
          <w:spacing w:val="0"/>
          <w:w w:val="100"/>
          <w:position w:val="0"/>
          <w:shd w:val="clear" w:color="auto" w:fill="auto"/>
          <w:lang w:val="ru-RU" w:eastAsia="ru-RU" w:bidi="ru-RU"/>
        </w:rPr>
        <w:t>00803Е81769СЕ8688001Е612СЗС6В74577</w:t>
      </w:r>
    </w:p>
    <w:p>
      <w:pPr>
        <w:pStyle w:val="Style23"/>
        <w:keepNext w:val="0"/>
        <w:keepLines w:val="0"/>
        <w:widowControl w:val="0"/>
        <w:shd w:val="clear" w:color="auto" w:fill="auto"/>
        <w:bidi w:val="0"/>
        <w:spacing w:before="0" w:after="260" w:line="240" w:lineRule="auto"/>
        <w:ind w:right="0" w:firstLine="0"/>
        <w:jc w:val="left"/>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424242"/>
          <w:spacing w:val="0"/>
          <w:w w:val="100"/>
          <w:position w:val="0"/>
          <w:shd w:val="clear" w:color="auto" w:fill="auto"/>
          <w:lang w:val="ru-RU" w:eastAsia="ru-RU" w:bidi="ru-RU"/>
        </w:rPr>
        <w:t xml:space="preserve">20.05.2024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13.08.2025</w:t>
      </w:r>
    </w:p>
    <w:p>
      <w:pPr>
        <w:pStyle w:val="Style9"/>
        <w:keepNext w:val="0"/>
        <w:keepLines w:val="0"/>
        <w:widowControl w:val="0"/>
        <w:shd w:val="clear" w:color="auto" w:fill="auto"/>
        <w:bidi w:val="0"/>
        <w:spacing w:before="0" w:after="395" w:line="240" w:lineRule="auto"/>
        <w:ind w:left="1020" w:right="0" w:firstLine="0"/>
        <w:jc w:val="left"/>
      </w:pPr>
      <w:r>
        <w:drawing>
          <wp:anchor distT="0" distB="0" distL="114300" distR="1900555" simplePos="0" relativeHeight="125829393" behindDoc="0" locked="0" layoutInCell="1" allowOverlap="1">
            <wp:simplePos x="0" y="0"/>
            <wp:positionH relativeFrom="page">
              <wp:posOffset>3043555</wp:posOffset>
            </wp:positionH>
            <wp:positionV relativeFrom="paragraph">
              <wp:posOffset>50800</wp:posOffset>
            </wp:positionV>
            <wp:extent cx="359410" cy="402590"/>
            <wp:wrapSquare wrapText="right"/>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17"/>
                    <a:stretch/>
                  </pic:blipFill>
                  <pic:spPr>
                    <a:xfrm>
                      <a:ext cx="359410" cy="40259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3463925</wp:posOffset>
                </wp:positionH>
                <wp:positionV relativeFrom="paragraph">
                  <wp:posOffset>142240</wp:posOffset>
                </wp:positionV>
                <wp:extent cx="1722120" cy="255905"/>
                <wp:wrapNone/>
                <wp:docPr id="37" name="Shape 3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72.75pt;margin-top:11.200000000000001pt;width:135.59999999999999pt;height:20.150000000000002pt;z-index:251657737;mso-wrap-distance-left:0;mso-wrap-distance-right:0;mso-position-horizontal-relative:page" filled="f" stroked="f">
                <v:textbox inset="0,0,0,0">
                  <w:txbxContent>
                    <w:p>
                      <w:pPr>
                        <w:pStyle w:val="Style13"/>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left="4420" w:right="0" w:firstLine="0"/>
        <w:jc w:val="left"/>
        <w:rPr>
          <w:sz w:val="11"/>
          <w:szCs w:val="11"/>
        </w:rPr>
      </w:pPr>
      <w:r>
        <w:rPr>
          <w:color w:val="EAEAEA"/>
          <w:spacing w:val="0"/>
          <w:w w:val="100"/>
          <w:position w:val="0"/>
          <w:sz w:val="11"/>
          <w:szCs w:val="11"/>
          <w:shd w:val="clear" w:color="auto" w:fill="auto"/>
          <w:lang w:val="ru-RU" w:eastAsia="ru-RU" w:bidi="ru-RU"/>
        </w:rPr>
        <w:t xml:space="preserve">СВЕДЕНИЯ </w:t>
      </w:r>
      <w:r>
        <w:rPr>
          <w:color w:val="FFFFFF"/>
          <w:spacing w:val="0"/>
          <w:w w:val="100"/>
          <w:position w:val="0"/>
          <w:sz w:val="11"/>
          <w:szCs w:val="11"/>
          <w:shd w:val="clear" w:color="auto" w:fill="auto"/>
          <w:lang w:val="ru-RU" w:eastAsia="ru-RU" w:bidi="ru-RU"/>
        </w:rPr>
        <w:t xml:space="preserve">О </w:t>
      </w:r>
      <w:r>
        <w:rPr>
          <w:color w:val="EAEAEA"/>
          <w:spacing w:val="0"/>
          <w:w w:val="100"/>
          <w:position w:val="0"/>
          <w:sz w:val="11"/>
          <w:szCs w:val="11"/>
          <w:shd w:val="clear" w:color="auto" w:fill="auto"/>
          <w:lang w:val="ru-RU" w:eastAsia="ru-RU" w:bidi="ru-RU"/>
        </w:rPr>
        <w:t>СЕРТИФИКАТЕ ЭП</w:t>
      </w:r>
    </w:p>
    <w:p>
      <w:pPr>
        <w:pStyle w:val="Style23"/>
        <w:keepNext w:val="0"/>
        <w:keepLines w:val="0"/>
        <w:widowControl w:val="0"/>
        <w:shd w:val="clear" w:color="auto" w:fill="auto"/>
        <w:bidi w:val="0"/>
        <w:spacing w:before="0" w:after="0" w:line="240" w:lineRule="auto"/>
        <w:ind w:right="0" w:firstLine="0"/>
        <w:jc w:val="left"/>
        <w:rPr>
          <w:sz w:val="11"/>
          <w:szCs w:val="11"/>
        </w:rPr>
      </w:pPr>
      <w:r>
        <w:rPr>
          <w:color w:val="848484"/>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color w:val="424242"/>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00ЕЗВ71218Е970424В4С41С7997434Е304</w:t>
      </w:r>
    </w:p>
    <w:p>
      <w:pPr>
        <w:pStyle w:val="Style23"/>
        <w:keepNext w:val="0"/>
        <w:keepLines w:val="0"/>
        <w:widowControl w:val="0"/>
        <w:shd w:val="clear" w:color="auto" w:fill="auto"/>
        <w:bidi w:val="0"/>
        <w:spacing w:before="0" w:after="980" w:line="240" w:lineRule="auto"/>
        <w:ind w:right="0" w:firstLine="0"/>
        <w:jc w:val="left"/>
      </w:pPr>
      <w:r>
        <w:rPr>
          <w:spacing w:val="0"/>
          <w:w w:val="100"/>
          <w:position w:val="0"/>
          <w:shd w:val="clear" w:color="auto" w:fill="auto"/>
          <w:lang w:val="ru-RU" w:eastAsia="ru-RU" w:bidi="ru-RU"/>
        </w:rPr>
        <w:t xml:space="preserve">Действителен </w:t>
      </w:r>
      <w:r>
        <w:rPr>
          <w:color w:val="424242"/>
          <w:spacing w:val="0"/>
          <w:w w:val="100"/>
          <w:position w:val="0"/>
          <w:shd w:val="clear" w:color="auto" w:fill="auto"/>
          <w:lang w:val="ru-RU" w:eastAsia="ru-RU" w:bidi="ru-RU"/>
        </w:rPr>
        <w:t xml:space="preserve">с </w:t>
      </w:r>
      <w:r>
        <w:rPr>
          <w:color w:val="000000"/>
          <w:spacing w:val="0"/>
          <w:w w:val="100"/>
          <w:position w:val="0"/>
          <w:shd w:val="clear" w:color="auto" w:fill="auto"/>
          <w:lang w:val="ru-RU" w:eastAsia="ru-RU" w:bidi="ru-RU"/>
        </w:rPr>
        <w:t xml:space="preserve">19.09.2024 </w:t>
      </w:r>
      <w:r>
        <w:rPr>
          <w:color w:val="848484"/>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13.12.2025</w:t>
      </w:r>
    </w:p>
    <w:p>
      <w:pPr>
        <w:pStyle w:val="Style31"/>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Исп.Мацнева М.О. тел.8(495)784-75-05</w:t>
      </w:r>
    </w:p>
    <w:sectPr>
      <w:footnotePr>
        <w:pos w:val="pageBottom"/>
        <w:numFmt w:val="decimal"/>
        <w:numRestart w:val="continuous"/>
      </w:footnotePr>
      <w:type w:val="continuous"/>
      <w:pgSz w:w="11900" w:h="16840"/>
      <w:pgMar w:top="1162" w:right="536"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728345</wp:posOffset>
              </wp:positionH>
              <wp:positionV relativeFrom="page">
                <wp:posOffset>10109200</wp:posOffset>
              </wp:positionV>
              <wp:extent cx="722630" cy="100330"/>
              <wp:wrapNone/>
              <wp:docPr id="5" name="Shape 5"/>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2024-46699</w:t>
                          </w:r>
                        </w:p>
                      </w:txbxContent>
                    </wps:txbx>
                    <wps:bodyPr wrap="none" lIns="0" tIns="0" rIns="0" bIns="0">
                      <a:spAutoFit/>
                    </wps:bodyPr>
                  </wps:wsp>
                </a:graphicData>
              </a:graphic>
            </wp:anchor>
          </w:drawing>
        </mc:Choice>
        <mc:Fallback>
          <w:pict>
            <v:shape id="_x0000_s1031" type="#_x0000_t202" style="position:absolute;margin-left:57.350000000000001pt;margin-top:796.pt;width:56.899999999999999pt;height:7.9000000000000004pt;z-index:-188744060;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2"/>
                        <w:szCs w:val="22"/>
                      </w:rPr>
                    </w:pPr>
                    <w:r>
                      <w:rPr>
                        <w:rFonts w:ascii="Cambria" w:eastAsia="Cambria" w:hAnsi="Cambria" w:cs="Cambria"/>
                        <w:color w:val="000000"/>
                        <w:spacing w:val="0"/>
                        <w:w w:val="100"/>
                        <w:position w:val="0"/>
                        <w:sz w:val="22"/>
                        <w:szCs w:val="22"/>
                        <w:shd w:val="clear" w:color="auto" w:fill="auto"/>
                        <w:lang w:val="ru-RU" w:eastAsia="ru-RU" w:bidi="ru-RU"/>
                      </w:rPr>
                      <w:t>2024-46699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723900</wp:posOffset>
              </wp:positionH>
              <wp:positionV relativeFrom="page">
                <wp:posOffset>10217150</wp:posOffset>
              </wp:positionV>
              <wp:extent cx="725170" cy="100330"/>
              <wp:wrapNone/>
              <wp:docPr id="7" name="Shape 7"/>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2024-46699</w:t>
                          </w:r>
                        </w:p>
                      </w:txbxContent>
                    </wps:txbx>
                    <wps:bodyPr wrap="none" lIns="0" tIns="0" rIns="0" bIns="0">
                      <a:spAutoFit/>
                    </wps:bodyPr>
                  </wps:wsp>
                </a:graphicData>
              </a:graphic>
            </wp:anchor>
          </w:drawing>
        </mc:Choice>
        <mc:Fallback>
          <w:pict>
            <v:shape id="_x0000_s1033" type="#_x0000_t202" style="position:absolute;margin-left:57.pt;margin-top:804.5pt;width:57.100000000000001pt;height:7.9000000000000004pt;z-index:-188744058;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2024-46699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3925570</wp:posOffset>
              </wp:positionH>
              <wp:positionV relativeFrom="page">
                <wp:posOffset>492760</wp:posOffset>
              </wp:positionV>
              <wp:extent cx="67310" cy="103505"/>
              <wp:wrapNone/>
              <wp:docPr id="3" name="Shape 3"/>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10000000000002pt;margin-top:38.800000000000004pt;width:5.2999999999999998pt;height:8.1500000000000004pt;z-index:-188744062;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10">
    <w:name w:val="Основной текст_"/>
    <w:basedOn w:val="DefaultParagraphFont"/>
    <w:link w:val="Style9"/>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картинке_"/>
    <w:basedOn w:val="DefaultParagraphFont"/>
    <w:link w:val="Style13"/>
    <w:rPr>
      <w:rFonts w:ascii="Times New Roman" w:eastAsia="Times New Roman" w:hAnsi="Times New Roman" w:cs="Times New Roman"/>
      <w:b w:val="0"/>
      <w:bCs w:val="0"/>
      <w:i w:val="0"/>
      <w:iCs w:val="0"/>
      <w:smallCaps w:val="0"/>
      <w:strike w:val="0"/>
      <w:color w:val="262626"/>
      <w:sz w:val="12"/>
      <w:szCs w:val="12"/>
      <w:u w:val="none"/>
    </w:rPr>
  </w:style>
  <w:style w:type="character" w:customStyle="1" w:styleId="CharStyle19">
    <w:name w:val="Заголовок №1_"/>
    <w:basedOn w:val="DefaultParagraphFont"/>
    <w:link w:val="Style18"/>
    <w:rPr>
      <w:rFonts w:ascii="Arial" w:eastAsia="Arial" w:hAnsi="Arial" w:cs="Arial"/>
      <w:b w:val="0"/>
      <w:bCs w:val="0"/>
      <w:i w:val="0"/>
      <w:iCs w:val="0"/>
      <w:smallCaps w:val="0"/>
      <w:strike w:val="0"/>
      <w:sz w:val="34"/>
      <w:szCs w:val="34"/>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626262"/>
      <w:sz w:val="12"/>
      <w:szCs w:val="12"/>
      <w:u w:val="none"/>
    </w:rPr>
  </w:style>
  <w:style w:type="character" w:customStyle="1" w:styleId="CharStyle32">
    <w:name w:val="Основной текст (4)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0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9">
    <w:name w:val="Основной текст"/>
    <w:basedOn w:val="Normal"/>
    <w:link w:val="CharStyle10"/>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картинке"/>
    <w:basedOn w:val="Normal"/>
    <w:link w:val="CharStyle14"/>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62626"/>
      <w:sz w:val="12"/>
      <w:szCs w:val="12"/>
      <w:u w:val="none"/>
    </w:rPr>
  </w:style>
  <w:style w:type="paragraph" w:customStyle="1" w:styleId="Style18">
    <w:name w:val="Заголовок №1"/>
    <w:basedOn w:val="Normal"/>
    <w:link w:val="CharStyle19"/>
    <w:pPr>
      <w:widowControl w:val="0"/>
      <w:shd w:val="clear" w:color="auto" w:fill="auto"/>
      <w:spacing w:after="220"/>
      <w:ind w:firstLine="320"/>
      <w:outlineLvl w:val="0"/>
    </w:pPr>
    <w:rPr>
      <w:rFonts w:ascii="Arial" w:eastAsia="Arial" w:hAnsi="Arial" w:cs="Arial"/>
      <w:b w:val="0"/>
      <w:bCs w:val="0"/>
      <w:i w:val="0"/>
      <w:iCs w:val="0"/>
      <w:smallCaps w:val="0"/>
      <w:strike w:val="0"/>
      <w:sz w:val="34"/>
      <w:szCs w:val="34"/>
      <w:u w:val="none"/>
    </w:rPr>
  </w:style>
  <w:style w:type="paragraph" w:customStyle="1" w:styleId="Style23">
    <w:name w:val="Основной текст (2)"/>
    <w:basedOn w:val="Normal"/>
    <w:link w:val="CharStyle24"/>
    <w:pPr>
      <w:widowControl w:val="0"/>
      <w:shd w:val="clear" w:color="auto" w:fill="auto"/>
      <w:ind w:left="3720"/>
    </w:pPr>
    <w:rPr>
      <w:rFonts w:ascii="Arial" w:eastAsia="Arial" w:hAnsi="Arial" w:cs="Arial"/>
      <w:b w:val="0"/>
      <w:bCs w:val="0"/>
      <w:i w:val="0"/>
      <w:iCs w:val="0"/>
      <w:smallCaps w:val="0"/>
      <w:strike w:val="0"/>
      <w:color w:val="626262"/>
      <w:sz w:val="12"/>
      <w:szCs w:val="12"/>
      <w:u w:val="none"/>
    </w:rPr>
  </w:style>
  <w:style w:type="paragraph" w:customStyle="1" w:styleId="Style31">
    <w:name w:val="Основной текст (4)"/>
    <w:basedOn w:val="Normal"/>
    <w:link w:val="CharStyle32"/>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 Id="rId15" Type="http://schemas.openxmlformats.org/officeDocument/2006/relationships/image" Target="media/image4.jpeg"/><Relationship Id="rId16" Type="http://schemas.openxmlformats.org/officeDocument/2006/relationships/image" Target="media/image4.jpeg" TargetMode="External"/><Relationship Id="rId17" Type="http://schemas.openxmlformats.org/officeDocument/2006/relationships/image" Target="media/image5.jpeg"/><Relationship Id="rId18" Type="http://schemas.openxmlformats.org/officeDocument/2006/relationships/image" Target="media/image5.jpeg" TargetMode="External"/></Relationships>
</file>