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86233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682750"/>
                <wp:wrapSquare wrapText="right"/>
                <wp:docPr id="3" name="Shape 3"/>
                <a:graphic xmlns:a="http://schemas.openxmlformats.org/drawingml/2006/main">
                  <a:graphicData uri="http://schemas.microsoft.com/office/word/2010/wordprocessingShape">
                    <wps:wsp>
                      <wps:cNvSpPr txBox="1"/>
                      <wps:spPr>
                        <a:xfrm>
                          <a:ext cx="2578735" cy="1682750"/>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 3006/24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2.5pt;z-index:-125829374;mso-wrap-distance-left:9.pt;mso-wrap-distance-top:56.399999999999999pt;mso-wrap-distance-right:10.450000000000001pt;mso-wrap-distance-bottom:67.900000000000006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 3006/24</w:t>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ОБЩЕСТВО С ОГРАНИЧЕННОЙ ОТВЕТСТВЕННОСТЬЮ "СТАРКМЕД" 190068, Г.Санкт-Петербург, УЛ.</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САДОВАЯ, Д. 50Б, ЛИТЕР Ж, ПОМЕЩ.</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2Н ОФИС 5</w:t>
      </w:r>
    </w:p>
    <w:p>
      <w:pPr>
        <w:pStyle w:val="Style9"/>
        <w:keepNext w:val="0"/>
        <w:keepLines w:val="0"/>
        <w:widowControl w:val="0"/>
        <w:shd w:val="clear" w:color="auto" w:fill="auto"/>
        <w:bidi w:val="0"/>
        <w:spacing w:before="0" w:after="260" w:line="240" w:lineRule="auto"/>
        <w:ind w:left="1020" w:right="0" w:firstLine="0"/>
        <w:jc w:val="left"/>
      </w:pPr>
      <w:r>
        <w:rPr>
          <w:color w:val="000000"/>
          <w:spacing w:val="0"/>
          <w:w w:val="100"/>
          <w:position w:val="0"/>
          <w:shd w:val="clear" w:color="auto" w:fill="auto"/>
          <w:lang w:val="ru-RU" w:eastAsia="ru-RU" w:bidi="ru-RU"/>
        </w:rPr>
        <w:t>уу4и1ой@дтаП.сот</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Федеральное государственное бюджетное учреждение «Национальный медицинский исследовательский центр травматологии и ортопедии имени академика Г.А.</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Илизарова» Министерства здравоохранения Российской Федерации 640014, Курганская область, г. Курган, ул.</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М. Ульяновой, д. 6</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т1§-тсИ:о@таП.ги; ой!се@тсИ:о.ги;</w:t>
      </w:r>
    </w:p>
    <w:p>
      <w:pPr>
        <w:pStyle w:val="Style9"/>
        <w:keepNext w:val="0"/>
        <w:keepLines w:val="0"/>
        <w:widowControl w:val="0"/>
        <w:shd w:val="clear" w:color="auto" w:fill="auto"/>
        <w:bidi w:val="0"/>
        <w:spacing w:before="0" w:after="840" w:line="240" w:lineRule="auto"/>
        <w:ind w:left="5320" w:right="0" w:firstLine="0"/>
        <w:jc w:val="left"/>
      </w:pPr>
      <w:r>
        <w:rPr>
          <w:color w:val="000000"/>
          <w:spacing w:val="0"/>
          <w:w w:val="100"/>
          <w:position w:val="0"/>
          <w:shd w:val="clear" w:color="auto" w:fill="auto"/>
          <w:lang w:val="ru-RU" w:eastAsia="ru-RU" w:bidi="ru-RU"/>
        </w:rPr>
        <w:t>ой1се@Ш2агоуги</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 о контрактной</w:t>
        <w:br/>
        <w:t>системе в сфере закупок № 045/06/33-528/2024</w:t>
      </w:r>
    </w:p>
    <w:p>
      <w:pPr>
        <w:pStyle w:val="Style9"/>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6533515</wp:posOffset>
                </wp:positionH>
                <wp:positionV relativeFrom="paragraph">
                  <wp:posOffset>12700</wp:posOffset>
                </wp:positionV>
                <wp:extent cx="655320" cy="234950"/>
                <wp:wrapSquare wrapText="left"/>
                <wp:docPr id="9" name="Shape 9"/>
                <a:graphic xmlns:a="http://schemas.openxmlformats.org/drawingml/2006/main">
                  <a:graphicData uri="http://schemas.microsoft.com/office/word/2010/wordprocessingShape">
                    <wps:wsp>
                      <wps:cNvSpPr txBox="1"/>
                      <wps:spPr>
                        <a:xfrm>
                          <a:ext cx="65532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5" type="#_x0000_t202" style="position:absolute;margin-left:514.45000000000005pt;margin-top:1.pt;width:51.600000000000001pt;height:18.5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02.10.2024 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 участии в заседании Комиссии посредством видеоконференцсвязи представителей заказчика - Федерального государственного бюджетного учреждения «Национальный медицинский исследовательский центр травматологии и ортопедии имени академика Г.А. Илизарова» Министерства здравоохранения Российской Федерации (далее - ФГБУ «НМИЦ ТО имени академика Г.А. Илизарова» Минздрава России, Заказчик) Шибаевой М.А., действующей на основании доверенности № 47 от 03.09.2024, Храмцовой О.Н., действующей на основании доверенности № 51 от 27.09.2024, Поздеевой Г.Г., действующей на основании доверенности № 12 от 05.03.2024,</w:t>
      </w:r>
    </w:p>
    <w:p>
      <w:pPr>
        <w:pStyle w:val="Style15"/>
        <w:keepNext/>
        <w:keepLines/>
        <w:widowControl w:val="0"/>
        <w:shd w:val="clear" w:color="auto" w:fill="auto"/>
        <w:bidi w:val="0"/>
        <w:spacing w:before="0" w:line="240" w:lineRule="auto"/>
        <w:ind w:left="0" w:right="0" w:firstLine="0"/>
        <w:jc w:val="left"/>
        <w:sectPr>
          <w:footerReference w:type="default" r:id="rId9"/>
          <w:footnotePr>
            <w:pos w:val="pageBottom"/>
            <w:numFmt w:val="decimal"/>
            <w:numRestart w:val="continuous"/>
          </w:footnotePr>
          <w:pgSz w:w="11900" w:h="16840"/>
          <w:pgMar w:top="284" w:right="536" w:bottom="1250" w:left="1101"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заявителя - Общества с ограниченной ответственностью «СТАРКМЕД» (далее - ООО «СТАРКМЕД», Заявитель)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 ходатайств о рассмотрении жалобы в отсутствии представителя не поступало,</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«СТАРКМЕД» на действия ФГБУ «НМИЦ ТО имени академика Г.А. Илизарова» Минздрава России при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 (извещение № 0343100000724001102),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Положением.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260" w:line="286" w:lineRule="auto"/>
        <w:ind w:left="0" w:right="0" w:firstLine="720"/>
        <w:jc w:val="both"/>
        <w:rPr>
          <w:sz w:val="24"/>
          <w:szCs w:val="24"/>
        </w:rPr>
      </w:pPr>
      <w:r>
        <w:rPr>
          <w:color w:val="000000"/>
          <w:spacing w:val="0"/>
          <w:w w:val="100"/>
          <w:position w:val="0"/>
          <w:sz w:val="26"/>
          <w:szCs w:val="26"/>
          <w:shd w:val="clear" w:color="auto" w:fill="auto"/>
          <w:lang w:val="ru-RU" w:eastAsia="ru-RU" w:bidi="ru-RU"/>
        </w:rPr>
        <w:t xml:space="preserve">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w:t>
      </w:r>
      <w:r>
        <w:rPr>
          <w:color w:val="000000"/>
          <w:spacing w:val="0"/>
          <w:w w:val="100"/>
          <w:position w:val="0"/>
          <w:sz w:val="24"/>
          <w:szCs w:val="24"/>
          <w:shd w:val="clear" w:color="auto" w:fill="auto"/>
          <w:lang w:val="ru-RU" w:eastAsia="ru-RU" w:bidi="ru-RU"/>
        </w:rPr>
        <w:t>2024-3449</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27.09.2024 в адрес Курганского УФАС России поступила жалоба ООО «СТАРКМЕД» (вх. № 4282/24) на действия заказчика - ФГБУ «НМИЦ ТО имени академика Г.А. Илизарова» Минздрава России при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 (извещение № 0343100000724001102).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указывает, что извещение о проведении электронного аукциона составлено с нарушениями требований Закона о контрактной системе,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электронного аукциона № 0343100000724001102 необоснованно установлены требования к характеристикам товара, которые не соответствуют позициям каталога товаров, работ, услуг для обеспечения государственных и муниципальных нужд (далее - КТРУ), в извещении и описании объекта закупки не установлена ссылка на позицию КТРУ, которой соответствует закупаемый товар.</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электронного аукциона № 0343100000724001102 закупке подлежат Аппараты рентгенографические, код позиции ОКПД2 - 26.60.11.113.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такое размещение закупки не соответствует требованиям действующего законодательства.</w:t>
      </w:r>
    </w:p>
    <w:p>
      <w:pPr>
        <w:pStyle w:val="Style9"/>
        <w:keepNext w:val="0"/>
        <w:keepLines w:val="0"/>
        <w:widowControl w:val="0"/>
        <w:shd w:val="clear" w:color="auto" w:fill="auto"/>
        <w:bidi w:val="0"/>
        <w:spacing w:before="0" w:after="0" w:line="331" w:lineRule="auto"/>
        <w:ind w:left="0" w:right="0" w:firstLine="720"/>
        <w:jc w:val="both"/>
        <w:rPr>
          <w:sz w:val="24"/>
          <w:szCs w:val="24"/>
        </w:rPr>
        <w:sectPr>
          <w:footerReference w:type="default" r:id="rId10"/>
          <w:footnotePr>
            <w:pos w:val="pageBottom"/>
            <w:numFmt w:val="decimal"/>
            <w:numRestart w:val="continuous"/>
          </w:footnotePr>
          <w:pgSz w:w="11900" w:h="16840"/>
          <w:pgMar w:top="1110" w:right="541" w:bottom="531" w:left="1101" w:header="682" w:footer="103"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извещении о закупке указан код ОКПД2 26.60.11.113, следовательно, закупаемое медицинское изделие под этим кодом подпадают под ограничения в соответствии с </w:t>
      </w:r>
      <w:r>
        <w:rPr>
          <w:color w:val="000000"/>
          <w:spacing w:val="0"/>
          <w:w w:val="100"/>
          <w:position w:val="0"/>
          <w:sz w:val="24"/>
          <w:szCs w:val="24"/>
          <w:shd w:val="clear" w:color="auto" w:fill="auto"/>
          <w:lang w:val="ru-RU" w:eastAsia="ru-RU" w:bidi="ru-RU"/>
        </w:rPr>
        <w:t>2024-3449</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Постановлением Правительства РФ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Каталоге товаров, работ, услуг присутствуют обязательные для применения позиции 26.60.11.113-00000114 - 26.60.11.113-00000116, указанные позиции на вкладке «Описание товара, работы, услуги» содержат перечень характеристик товара.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провести внеплановую проверку действий Заказчика; признать в действиях Заказчика нарушения требований пункта 5 части 1 статьи 42, части 6 статьи 23 Закона о контрактной системе; обязать Заказчика устранить нарушения действующего законодательства путем внесения изменений в извещение.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с доводом жалобы не согласились, считают жалобу необоснованной, по основаниям, изложенным в письменных возражениях, которые приобщены к материалам дела.</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Руководствуясь статьями 99, 106 Закона о контрактной системе, Комиссией Курганского УФАС России проведена внеплановая проверка, в результате которой установлено, </w:t>
      </w:r>
      <w:r>
        <w:rPr>
          <w:color w:val="000000"/>
          <w:spacing w:val="0"/>
          <w:w w:val="100"/>
          <w:position w:val="0"/>
          <w:shd w:val="clear" w:color="auto" w:fill="auto"/>
          <w:lang w:val="ru-RU" w:eastAsia="ru-RU" w:bidi="ru-RU"/>
        </w:rPr>
        <w:t>что 20.09.2024 на официальном сайте ЕИС в сети Интернет Заказчиком опубликовано извещение № 0343100000724001102 об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16 900 000,00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30.09.2024 09:00 (МСК+2).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- 01.10.2024.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01.10.2024 в 16:13 (МСК+2) в извещении размещен Протокол подведения итогов электронного аукциона № 0343100000724001102, согласно которому по окончании срока подачи заявок на участие в закупке подано 2 заявки, 1 из которых признана комиссией по осуществлению закупок не соответствующей требованиям извещения.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статьи, обеспечиваются, в частности, путем ее размещения в единой информационной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49 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Законом,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Pr>
          <w:color w:val="000000"/>
          <w:spacing w:val="0"/>
          <w:w w:val="100"/>
          <w:position w:val="0"/>
          <w:shd w:val="clear" w:color="auto" w:fill="auto"/>
          <w:lang w:val="ru-RU" w:eastAsia="ru-RU" w:bidi="ru-RU"/>
        </w:rPr>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0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Заказчики вправе самостоятельно принимать решение о способе закупке, с предоставленным правом формирования объекта, определять содержание предмета контракта, предъявлять к нему требования в соответствии с собственными потребностями с учетом ограничений, установленных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контрольного органа в сфере закупок установлено, что Заказчиком при описании объекта закупки применен код ОКПД2 26.60.11.113.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4 Правил № 145 установлено, что Заказчики обязаны применять информацию, включенную в позицию каталога с указанной в ней даты начала обязательного применения.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7 Правил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представителя ФГБУ «НМИЦ ТО имени академика Г.А. Илизарова» Минздрава России позиции КТРУ, перечисленные в жалобе ООО «СТАРКМЕД» не отвечают потребностям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представителями Заказчика были даны пояснения, согласно которым в соответствии с пунктом 2.3 Устава ФГБУ «НМИЦ ТО имени академика Г.А. Илизарова» Минздрава России для достижения основных целей, предусмотренных в Уставе, может осуществлять по договорам, контрактам с юридическими и физическими лицами, в том числе заключенным в рамках реализации федеральных, отраслевых, региональных, ведомственных программ, на возмездной основе следующие виды приносящей доход деятельности:</w:t>
      </w:r>
    </w:p>
    <w:p>
      <w:pPr>
        <w:pStyle w:val="Style9"/>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научную (научно-исследовательскую), научно-техническую деятельность и экспериментальные разработки сверх тематических планов научных исследований, утвержденных в установленном порядке Министерством;</w:t>
      </w:r>
    </w:p>
    <w:p>
      <w:pPr>
        <w:pStyle w:val="Style9"/>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ветеринарную деятельность, в том числе содержание, разведение и подготовка лабораторных животных для медико-биологических исследований, за счет средств, полученных от приносящей доход деятельности.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3.1 Устава в целях обеспечения уставной деятельности за Учреждением закрепляется на праве оперативного управления федеральное имущество. Учреждение вправе приобретать за счет средств от приносящей доход деятельности имущество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проанализировано 3 действующих позиции КТРУ по наименованию «Система рентгеновская диагностическая передвижная общего назначения, цифровая», а именно: 26.60.11.113-00000114; 26.60.11.113-00000115; 26.60.11.113-00000116.</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результате анализа установлено, что указанные позиции КТРУ не отражают потребности Заказчика по таким характеристикам как: Тип штатива; Вращение колонны излучателя, градусы; Габариты аппарата в транспортном СОСТОЯНИЙ (В х Ш х Д), мм; Максимальная скорость моторизованного перемещения аппарата, км/ч; Квантовая </w:t>
      </w:r>
      <w:r>
        <w:rPr>
          <w:color w:val="000000"/>
          <w:spacing w:val="0"/>
          <w:w w:val="100"/>
          <w:position w:val="0"/>
          <w:shd w:val="clear" w:color="auto" w:fill="auto"/>
          <w:lang w:val="ru-RU" w:eastAsia="ru-RU" w:bidi="ru-RU"/>
        </w:rPr>
        <w:t>эффективность регистрации детектора ([МЭЕ), % при 0.05 пар линий/мм; Преодолеваемый уклон, градусов (отсутствуют в КТРУ).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пояснили представители Заказчика, все вышеперечисленные характеристики являются значимыми для ФГБУ «НМИЦ ТО имени академика Г.А. Илизарова» Минздрава России, поскольку закупаемое медицинское оборудование планируется использовать не только в лечебной деятельности, но еще более оно необходимо Заказчику для выполнения научно-исследовательской работы.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ФГБУ «НМИЦ ТО имени академика Г.А. Илизарова» Минздрава России на период 2024-2026 годов запланированы и утверждены темы НИР (научно-исследовательских работ) (госзадания), размещенные на сайте: Ьир8://е18паика.ги. которыми в обязательном порядке применяются рентгенологические исследования, участие в качестве соисполнителя по гранту МП 1К-[)МГ(2023) (Оценка безопасности и эффективности новых сплавов при биологическом тестировании в системах т </w:t>
      </w:r>
      <w:r>
        <w:rPr>
          <w:smallCaps/>
          <w:color w:val="000000"/>
          <w:spacing w:val="0"/>
          <w:w w:val="100"/>
          <w:position w:val="0"/>
          <w:shd w:val="clear" w:color="auto" w:fill="auto"/>
          <w:lang w:val="ru-RU" w:eastAsia="ru-RU" w:bidi="ru-RU"/>
        </w:rPr>
        <w:t>у(уо</w:t>
      </w:r>
      <w:r>
        <w:rPr>
          <w:color w:val="000000"/>
          <w:spacing w:val="0"/>
          <w:w w:val="100"/>
          <w:position w:val="0"/>
          <w:shd w:val="clear" w:color="auto" w:fill="auto"/>
          <w:lang w:val="ru-RU" w:eastAsia="ru-RU" w:bidi="ru-RU"/>
        </w:rPr>
        <w:t xml:space="preserve"> на животных для возможности дальнейшего использования при изготовлении медицинских изделий).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базе здания Вивария ФГБУ «НМИЦ ТО имени академика Г.А. Илизарова» Минздрава России организована и размещена экспериментальная лаборатория, в помещениях № 66 (14,0 кв. м.), № 67 (15,2 кв. м.) размещены операционные для проведения оперативных вмешательств.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представили пояснения по характеристикам оборудования, которые считают наиболее важными.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Вращение колонны излучателя позволяет обследовать пациентов (крупные и мелкие животные). В свою очередь недостаточный диапазон вращения колонны ограничивает использование аппарата для сканирования пациентов (крупные и мелкие животные) в условиях ограниченного пространства.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Такая характеристика как Габариты аппарата в транспортном состоянии (В х Ш х Д), мм и ее значение: не более 1400 х 560 х 1260 предусмотрены Заказчиком для беспрепятственного перемещения рентгенологического оборудования между операционными блоками в рамках одной экспериментальной лаборатории в условиях ограниченного пространства.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Характеристика Вес аппарата со встроенными аккумуляторными батареями, кг: &lt; 450 нужна для свободной транспортировки системы в условиях ограниченного пространства и для снижения нагрузки на конструктивные элементы (перекрытия).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Максимальная скорость моторизованного перемещения аппарата, км/ч &gt;5 необходима для маневренности системы при перемещении в условиях ограниченного пространства, при одновременном проведении оперативных вмешательств в разных операционных, позволяет сократить время нахождения животного в наркозе, что позволяет сократить время операции на этапе «открытая рана», что в свою очередь снижает риск обсеменения раны патогенной микрофлорой и риск возникновения летального исхода.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Преодолеваемый уклон, градусов &gt;7 дает возможность транспортировки оборудования по установленным пандусам при перемещении системы из одного лечебного корпуса (экспериментальная лаборатория) в другой.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Датчик касания на бампере корпуса аппарата: Наличие - нужен для обеспечения защиты высокотехнологичного дорогостоящего оборудования от повреждений во время частой транспортировки, с целью автоматической остановки всей системы при применении моторизированного перемещения аппарата.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Квантовая эффективность регистрации детектора (^^Е), % &gt;75 - квантовая эффективность регистрации детектора характеризует уровень доз, необходимых для получения изображения высокого качества. При одном и том же значении дозы качество </w:t>
      </w:r>
      <w:r>
        <w:rPr>
          <w:color w:val="000000"/>
          <w:spacing w:val="0"/>
          <w:w w:val="100"/>
          <w:position w:val="0"/>
          <w:shd w:val="clear" w:color="auto" w:fill="auto"/>
          <w:lang w:val="ru-RU" w:eastAsia="ru-RU" w:bidi="ru-RU"/>
        </w:rPr>
        <w:t>изображения будет тем выше, чем больше квантовая эффективность, что позволяет получать более детализированные, четкие снимки, особенно необходимо при проведении рентгенологического исследования мелких животных (мыши, крысы, кролики).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по всем дополненным характеристикам оборудования, Заказчик привел четкие обоснования использования каждой конкретной характеристики, в качестве подтверждающих документов представлены сведения о размерах помещений, документы, подтверждающие научно-исследовательскую деятельность ФГБУ «НМИЦ ТО имени академика Г.А. Илизарова» Минздрава России.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пояснили Комиссии контрольного органа в сфере закупок, что в настоящее время в КТРУ нет ни одной позиции, соответствующей Системе рентгеновской диагностической передвижной, цифровой для проведения научно</w:t>
        <w:softHyphen/>
        <w:t>клинических исследований, таким образом, в рамках данной закупки приобретается медицинское изделие, в отношении которого отсутствует позиция КТРУ.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осуществил описание товара (медицинского оборудования) в соответствии с требованиями статьи 33 Закона, так как в КТРУ отсутствует соответствующая позиция, описание объекта закупки правомерно составлено в соответствии с пунктом 7 Правил № 145, исходя из собственных потребностей Заказчика согласно коду ОКПД2.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Обосновывая сформированное описание объекта закупки представитель Заказчика сослался в том числе и на соответствующую судебную практику, так в Определении Верховного суда Российской Федерации от 18.09.2023 № 310- ЭС23-16627 по делу А36- 4181/2022 указано, что поскольку в позициях КТРУ отсутствует необходимый заказчику товар, описание товара в соответствии с требованиями статьи 33 Закона, в данном случае не противоречит требованиям законодательства о контрактной системе. В то же время отсутствие в КТРУ товара с требуемой характеристикой означает отсутствие в нем соответствующей позиции, поэтому заказчик в этом случае вправе описывать объект закупки с использованием ОКПД2.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Заслушав пояснения представителей Заказчика, изучив содержание извещения рассматриваемой закупки, проанализировав содержание вышеназванных позиции КТРУ, Комиссия Курганского УФАС России приходит к выводу, что указанные Заявителем позиции КТРУ не отвечают потребностям Заказчика, приобретающего медицинское оборудование для использования в том числе с целью научно-исследовательской работы.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утверждения Заявителя о том, что не применив позицию КТРУ, Заказчик обошел ограничения, установленные Постановлением Правительства РФ № 878, Комиссия отмечает, что код ОКПД2 прописан в Перечне, утвержденном Постановлением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в извещении № 0343100000724001102 установлено ограничение допуска в соответствии с Постановлением Правительства РФ № 878, а условие допуска установлено в соответствии с приказом Министерства финансов Российской Федерации от 04.06.2018 № 126н.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жалоба Заявителя признана Комиссией Курганского УФАС России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15 статьи 99 Закона о контрактной системе, контрольный орган в сфере закупок проводит внеплановую проверку в том числе в связи с получением обращения участника закупки с жалобой на действия (бездействие) субъектов контроля.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жалобе ООО «СТАРКМЕД» внеплановая проверка Комиссией Курганского УФАС России не проводилась в связи с проведение по жалобе № 202400169183000821.</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w:t>
        <w:br w:type="page"/>
      </w: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Правилами осуществления контроля в сфере закупок,</w:t>
      </w:r>
    </w:p>
    <w:p>
      <w:pPr>
        <w:pStyle w:val="Style9"/>
        <w:keepNext w:val="0"/>
        <w:keepLines w:val="0"/>
        <w:widowControl w:val="0"/>
        <w:shd w:val="clear" w:color="auto" w:fill="auto"/>
        <w:bidi w:val="0"/>
        <w:spacing w:before="0" w:after="260" w:line="240" w:lineRule="auto"/>
        <w:ind w:left="4800" w:right="0" w:firstLine="0"/>
        <w:jc w:val="left"/>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60" w:line="240" w:lineRule="auto"/>
        <w:ind w:left="0" w:right="0" w:firstLine="720"/>
        <w:jc w:val="left"/>
      </w:pPr>
      <w:r>
        <w:rPr>
          <w:color w:val="000000"/>
          <w:spacing w:val="0"/>
          <w:w w:val="100"/>
          <w:position w:val="0"/>
          <w:shd w:val="clear" w:color="auto" w:fill="auto"/>
          <w:lang w:val="ru-RU" w:eastAsia="ru-RU" w:bidi="ru-RU"/>
        </w:rPr>
        <w:t>Признать жалобу Общества с ограниченной ответственностью «СТАРКМЕД» необоснованной.</w:t>
      </w:r>
    </w:p>
    <w:p>
      <w:pPr>
        <w:pStyle w:val="Style9"/>
        <w:keepNext w:val="0"/>
        <w:keepLines w:val="0"/>
        <w:widowControl w:val="0"/>
        <w:shd w:val="clear" w:color="auto" w:fill="auto"/>
        <w:bidi w:val="0"/>
        <w:spacing w:before="0" w:after="560" w:line="240" w:lineRule="auto"/>
        <w:ind w:left="0" w:right="0" w:firstLine="720"/>
        <w:jc w:val="left"/>
      </w:pPr>
      <w:r>
        <w:rPr>
          <w:i/>
          <w:iCs/>
          <w:color w:val="000000"/>
          <w:spacing w:val="0"/>
          <w:w w:val="100"/>
          <w:position w:val="0"/>
          <w:shd w:val="clear" w:color="auto" w:fill="auto"/>
          <w:lang w:val="ru-RU" w:eastAsia="ru-RU" w:bidi="ru-RU"/>
        </w:rPr>
        <w:t>Решение может быть обжаловано в арбитражный суд в течение трех месяцев, с даты его принятия в порядке, установленном главой 24 АПК РФ.</w:t>
      </w:r>
    </w:p>
    <w:p>
      <w:pPr>
        <w:pStyle w:val="Style9"/>
        <w:keepNext w:val="0"/>
        <w:keepLines w:val="0"/>
        <w:widowControl w:val="0"/>
        <w:shd w:val="clear" w:color="auto" w:fill="auto"/>
        <w:tabs>
          <w:tab w:leader="underscore" w:pos="3873" w:val="left"/>
        </w:tabs>
        <w:bidi w:val="0"/>
        <w:spacing w:before="0" w:after="260" w:line="240" w:lineRule="auto"/>
        <w:ind w:left="1660" w:right="0" w:firstLine="0"/>
        <w:jc w:val="left"/>
      </w:pPr>
      <w:r>
        <mc:AlternateContent>
          <mc:Choice Requires="wps">
            <w:drawing>
              <wp:anchor distT="0" distB="0" distL="114300" distR="114300" simplePos="0" relativeHeight="125829384" behindDoc="0" locked="0" layoutInCell="1" allowOverlap="1">
                <wp:simplePos x="0" y="0"/>
                <wp:positionH relativeFrom="page">
                  <wp:posOffset>845820</wp:posOffset>
                </wp:positionH>
                <wp:positionV relativeFrom="paragraph">
                  <wp:posOffset>12700</wp:posOffset>
                </wp:positionV>
                <wp:extent cx="1734185" cy="615950"/>
                <wp:wrapSquare wrapText="right"/>
                <wp:docPr id="13" name="Shape 13"/>
                <a:graphic xmlns:a="http://schemas.openxmlformats.org/drawingml/2006/main">
                  <a:graphicData uri="http://schemas.microsoft.com/office/word/2010/wordprocessingShape">
                    <wps:wsp>
                      <wps:cNvSpPr txBox="1"/>
                      <wps:spPr>
                        <a:xfrm>
                          <a:ext cx="1734185" cy="615950"/>
                        </a:xfrm>
                        <a:prstGeom prst="rect"/>
                        <a:noFill/>
                      </wps:spPr>
                      <wps:txbx>
                        <w:txbxContent>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9" type="#_x0000_t202" style="position:absolute;margin-left:66.599999999999994pt;margin-top:1.pt;width:136.55000000000001pt;height:48.5pt;z-index:-12582936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ab/>
        <w:t>/ А.В. Иванова</w:t>
      </w:r>
    </w:p>
    <w:p>
      <w:pPr>
        <w:pStyle w:val="Style9"/>
        <w:keepNext w:val="0"/>
        <w:keepLines w:val="0"/>
        <w:widowControl w:val="0"/>
        <w:shd w:val="clear" w:color="auto" w:fill="auto"/>
        <w:tabs>
          <w:tab w:leader="underscore" w:pos="3873" w:val="left"/>
        </w:tabs>
        <w:bidi w:val="0"/>
        <w:spacing w:before="0" w:after="260" w:line="240" w:lineRule="auto"/>
        <w:ind w:left="1660" w:right="0" w:firstLine="0"/>
        <w:jc w:val="left"/>
      </w:pPr>
      <w:r>
        <w:rPr>
          <w:color w:val="000000"/>
          <w:spacing w:val="0"/>
          <w:w w:val="100"/>
          <w:position w:val="0"/>
          <w:shd w:val="clear" w:color="auto" w:fill="auto"/>
          <w:lang w:val="ru-RU" w:eastAsia="ru-RU" w:bidi="ru-RU"/>
        </w:rPr>
        <w:tab/>
        <w:t>/ М.С. Дудина</w:t>
      </w:r>
    </w:p>
    <w:p>
      <w:pPr>
        <w:pStyle w:val="Style9"/>
        <w:keepNext w:val="0"/>
        <w:keepLines w:val="0"/>
        <w:widowControl w:val="0"/>
        <w:shd w:val="clear" w:color="auto" w:fill="auto"/>
        <w:tabs>
          <w:tab w:leader="underscore" w:pos="7013" w:val="left"/>
        </w:tabs>
        <w:bidi w:val="0"/>
        <w:spacing w:before="0" w:after="260" w:line="240" w:lineRule="auto"/>
        <w:ind w:left="4800" w:right="0" w:firstLine="0"/>
        <w:jc w:val="left"/>
      </w:pPr>
      <w:r>
        <w:rPr>
          <w:color w:val="000000"/>
          <w:spacing w:val="0"/>
          <w:w w:val="100"/>
          <w:position w:val="0"/>
          <w:shd w:val="clear" w:color="auto" w:fill="auto"/>
          <w:lang w:val="ru-RU" w:eastAsia="ru-RU" w:bidi="ru-RU"/>
        </w:rPr>
        <w:tab/>
        <w:t>/ М.П. Чеботина</w:t>
      </w:r>
    </w:p>
    <w:sectPr>
      <w:footerReference w:type="default" r:id="rId11"/>
      <w:footnotePr>
        <w:pos w:val="pageBottom"/>
        <w:numFmt w:val="decimal"/>
        <w:numRestart w:val="continuous"/>
      </w:footnotePr>
      <w:pgSz w:w="11900" w:h="16840"/>
      <w:pgMar w:top="1102" w:right="538" w:bottom="1119" w:left="1099" w:header="67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2024-3449</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10046335</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2024-3449</w:t>
                          </w:r>
                        </w:p>
                      </w:txbxContent>
                    </wps:txbx>
                    <wps:bodyPr wrap="none" lIns="0" tIns="0" rIns="0" bIns="0">
                      <a:spAutoFit/>
                    </wps:bodyPr>
                  </wps:wsp>
                </a:graphicData>
              </a:graphic>
            </wp:anchor>
          </w:drawing>
        </mc:Choice>
        <mc:Fallback>
          <w:pict>
            <v:shape id="_x0000_s1041" type="#_x0000_t202" style="position:absolute;margin-left:57.pt;margin-top:791.05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30"/>
      <w:szCs w:val="30"/>
      <w:u w:val="singl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76199"/>
      <w:sz w:val="18"/>
      <w:szCs w:val="18"/>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7">
    <w:name w:val="Подпись к картинке"/>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76199"/>
      <w:sz w:val="18"/>
      <w:szCs w:val="18"/>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