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1630" cy="4083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41630" cy="4083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АНТИМО11ОПОЛЫ1АЯ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Федеральной антимонопольной</w:t>
        <w:br/>
        <w:t>службы по Ханты-Мансийскому</w:t>
        <w:br/>
        <w:t>автономному окручу - Юц)е</w:t>
        <w:br/>
        <w:t>ул. Мира, д. 27, Ханты-Мансийск, 628012</w:t>
        <w:br/>
        <w:t>телсфон/факс +7 (346?) 38-80-81</w:t>
        <w:br/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с-гпай: 1о86@Гз5.^оу.ги, сайт Ънру'Лнпао.ГаэЛ’оу.ги</w:t>
        <w:br/>
        <w:t>ИНН 8601009316 КИН 860101001 ОГРН 102ШЮ512093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 w:line="211" w:lineRule="auto"/>
        <w:ind w:left="1280" w:right="0" w:firstLine="0"/>
        <w:jc w:val="left"/>
        <w:rPr>
          <w:sz w:val="28"/>
          <w:szCs w:val="28"/>
        </w:rPr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№ </w:t>
      </w:r>
      <w:r>
        <w:rPr>
          <w:rFonts w:ascii="Times New Roman" w:eastAsia="Times New Roman" w:hAnsi="Times New Roman" w:cs="Times New Roman"/>
          <w:color w:val="392B8A"/>
          <w:spacing w:val="0"/>
          <w:w w:val="100"/>
          <w:position w:val="0"/>
          <w:sz w:val="28"/>
          <w:szCs w:val="28"/>
          <w:u w:val="single"/>
          <w:shd w:val="clear" w:color="auto" w:fill="auto"/>
          <w:lang w:val="ru-RU" w:eastAsia="ru-RU" w:bidi="ru-RU"/>
        </w:rPr>
        <w:t>РОЖСф</w:t>
      </w:r>
      <w:r>
        <w:rPr>
          <w:rFonts w:ascii="Times New Roman" w:eastAsia="Times New Roman" w:hAnsi="Times New Roman" w:cs="Times New Roman"/>
          <w:color w:val="392B8A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 - АСТ"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 7872999/97 доб. 369, Факс: (495) 7872998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ко@8ЪегЬапк-аз(.гц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Пономарев Михаил Дмитриевич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8400" w:h="11900"/>
          <w:pgMar w:top="599" w:right="780" w:bottom="1219" w:left="1139" w:header="0" w:footer="3" w:gutter="0"/>
          <w:pgNumType w:start="1"/>
          <w:cols w:num="2" w:space="39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680030, край Хабаровский, город Хабаровск, пер. Дзержинского, д. 20, кв. 97</w:t>
      </w:r>
    </w:p>
    <w:p>
      <w:pPr>
        <w:widowControl w:val="0"/>
        <w:spacing w:line="63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543" w:right="0" w:bottom="12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Нефтеюганского района "Центр спорта и культуры"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628320, Ханты-Мансийский автономный округ - Югра , Нефтеюганский р-н, п. Сингапай, ул.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Центральная, д. 31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086/06/33-1573/2024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tabs>
          <w:tab w:pos="50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02.10.2024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07.10.2024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— Заместитель руководителя Управления,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Иванчикова Е.А. - Начальник отдела контроля закупок,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6" w:val="left"/>
        </w:tabs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Смоль М.С. - Эксперт отдела контроля закупок;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— отсутствовали, уведомлены надлежащим образом,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очно, Талипова Л.С. по доверенности № 549 от 01.10.2024 г.;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Пономарева Михаила Дмитриевича (ИНН: 272399957915, ОГРНИП: 321272400001781) № 9698/24 от 27.07.2024 г., на действия Заказ</w:t>
        <w:softHyphen/>
        <w:t>чика — бюджетного учреждения Нефтеюганского района "Центр спорта и культуры" при проведе</w:t>
        <w:softHyphen/>
        <w:t>нии запроса котировок в электронной форме, предметом которого является поставка и установка звукового оборудования для нужд КДЦ "Сияние Севера" (извещение № 0387300125924000025)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ра-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11111111111 111111 1111111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— Югре поступила жалоба от индивидуального предпринимателя Пономарева Михаила Дмитриевича (ИНН: 272399957915, ОГРНИП: 321272400001781) № 9698/24 от 27.07.2024 г., на действия Заказчика — бюджетного учреждения Нефтеюганского района "Центр спорта и культуры" при проведении запроса котировок в электронной форме, предметом которого является поставка и установка звукового оборудования для нужд КДЦ "Сияние Севера" (извещение № 0387300125924000025).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доводах жалобы Заявитель указал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Под требования аукционной документации в соответствии с паспортом изделия не подходит ни один товар ни от одного производителя.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Заказчик неправомерно не устанавливает объем услуг по монтажу (пункт 7 ч. 1 ст. 42 закона о контрактной системе).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й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пунктам 3-5 Постановления Правительства Российской Федерации от 08.02.2017 № 145 "Об утверждении Правил формирования и ведения в единой информационной системе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постановлением-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0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5" w:val="left"/>
        </w:tabs>
        <w:bidi w:val="0"/>
        <w:spacing w:before="0" w:after="16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первого довода жалобы, Комиссия Управления поясняет следующее.</w:t>
      </w:r>
      <w:bookmarkEnd w:id="1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№ 0387300125924000025, предметом закупки является поставка и установка звукового оборудования для нужд КДЦ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"Сияние Севера".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leader="underscore" w:pos="48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 Заказчику требуется следующее:</w:t>
      </w:r>
    </w:p>
    <w:tbl>
      <w:tblPr>
        <w:tblOverlap w:val="never"/>
        <w:jc w:val="center"/>
        <w:tblLayout w:type="fixed"/>
      </w:tblPr>
      <w:tblGrid>
        <w:gridCol w:w="360"/>
        <w:gridCol w:w="1445"/>
        <w:gridCol w:w="643"/>
        <w:gridCol w:w="1670"/>
        <w:gridCol w:w="926"/>
        <w:gridCol w:w="374"/>
        <w:gridCol w:w="1272"/>
      </w:tblGrid>
      <w:tr>
        <w:trPr>
          <w:trHeight w:val="4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Наименование товара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Указание на товарны н знак (модель, производ ителя), страну пронсхо ждения товара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Функциональные характеристики (потребительские свойства) поставляемых товаров (используемых материалов)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 -во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Обоснование использования характеристик</w:t>
            </w:r>
          </w:p>
        </w:tc>
      </w:tr>
      <w:tr>
        <w:trPr>
          <w:trHeight w:val="113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Требуемый параметр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Требуемое значение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Сабвуфер КТРУ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26.40.43.110-00000002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Вес,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&lt;40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4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Высота,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&lt;600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Глубина,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&lt;600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Диаграмма направленности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Круговая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Звуковое давление,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Импеданс, 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аналоговых аудиовходов (каналов),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выходов ЬШК О11Т (после обработки)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8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низкочастотных динамиков, 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79"/>
        <w:gridCol w:w="1430"/>
        <w:gridCol w:w="643"/>
        <w:gridCol w:w="1661"/>
        <w:gridCol w:w="926"/>
        <w:gridCol w:w="374"/>
        <w:gridCol w:w="1330"/>
      </w:tblGrid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Максимальная частота, 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&gt;300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Материал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Дерево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Минимальная частота, 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&lt;40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АЕ8,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КМ8,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адаптера для установки стойки саб- сателлит (стакан)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защитной решетки на передней части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износостойкого покрытия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сквозного выхода аналогового аудиосигнала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элементов крепления в комплекте или на корпусе сабвуфера для сборки в линейный массив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Номинальная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Пиковая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1600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Показатель неравномерности частотной характеристики для требуемого диапазона воспроизводимых частот,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Программная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&gt;1000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7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Способ размещения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Напольный Подвесной Сборка в линейный массив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1Р44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Закрытый ящик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сабвуфера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Пассивный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соединителей аналоговых аудиовходов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8реакоп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Типоразмер динамика, дюйм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Чувствительность,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&gt;97.5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Ширина,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Акустическая система КТРУ 26.40.31.190- 00000010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Вес,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&lt;20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6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4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Элемент линейного массива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Высота,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&lt;400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Глубина,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&lt;400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Импеданс, 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СЧ/НЧ- динамиков,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&gt;3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аналоговых аудиовходов (каналов),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полос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Конструкция ВЧ-динамика и диафрагмы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Рупорный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Максимальная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воспроизводимая частота, кГц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Максимальное звуковое давление,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Материал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Дерево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8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Минимальная воспроизводимая частота, Гц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&lt;80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65"/>
        <w:gridCol w:w="1445"/>
        <w:gridCol w:w="638"/>
        <w:gridCol w:w="1675"/>
        <w:gridCol w:w="922"/>
        <w:gridCol w:w="370"/>
        <w:gridCol w:w="1282"/>
      </w:tblGrid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АЕ8,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КМ8,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&gt;300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выхода ЫМК ОПТ (после обработки)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Нал1гчие защитной решетки на передней части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износостойкого покрытия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сквозного выхода аналогового аудиосигнала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элементов крепления в комплекте или на корпусе для сборки в линейный массив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Номинальная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Пиковая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1200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Показатель неравномерности частотной характеристики для требуемого диапазона воспроизводимых частот,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Программная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&gt;800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Размер СЧ/НЧ-динамика, дюйм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Способ размещения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Сборка в линейный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массив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1Р44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Пассивная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соединителей аналоговых аудиовходов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Зреакоп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раскрытия по вертикали, градус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раскрытия по горизонтали,градус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Чувствительность,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&gt;97.5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Ширина,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Рама для подвеса ОКПД- 2 26.40.50.000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Возможность подвеса элементов линейного массива, входящих в настоящую закупку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 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требованиями п. 1 ч. 1 ст. 33 Федерального закона № 44-ФЗ (для закупаемого товара в КТРУ отсутствует соответствующая позиция)</w:t>
            </w:r>
          </w:p>
        </w:tc>
      </w:tr>
      <w:tr>
        <w:trPr>
          <w:trHeight w:val="22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Усилитель мощности КТРУ 26.40.43.120- 00000001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Транзисторный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каналов,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усилителя по полосе частот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Шнрокополосн 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Усилитель мощности КТРУ 26.40.43.120- 00000001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Транзисторный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5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. КТРУ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каналов,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усилителя по полосе частот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Шнрокополосн 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Цифровой контроллер обработки сигнала ОКПД-2 26.30.11.190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входов,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требованиями п.1 ч. 1 ст. 33 Федерального закона № 44-ФЗ (для закупаемого товара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КТРУ отсутствует соответствующая позиция)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выходов,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Минимальная частота, 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&lt;20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Максимальная частота, 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&gt;20000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Кроссовер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Эквалайзер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Лимитер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60"/>
        <w:gridCol w:w="1435"/>
        <w:gridCol w:w="634"/>
        <w:gridCol w:w="1666"/>
        <w:gridCol w:w="922"/>
        <w:gridCol w:w="370"/>
        <w:gridCol w:w="128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Общее гармоническое искажение, проценты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 0,008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Фильтр Бесселя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Фильтр Баттерворта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Фильтр Линквитца-Райли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Интерфейс К.8485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Интерфейс КБ232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Порт управления 118В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Порт дистанционного управления Е(Ьетс1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Максимальный выходной уровень, 6Ви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Индикатор уровня входов и выходов на передней панели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Частота дискретизации, кГц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&gt;96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Максимальное время задержки составляет, мс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&lt;680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Высота,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&gt;44и&lt;52 .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Ширина,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&gt;480 и &lt;492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Глубина,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&gt;200 и &lt;215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Вес,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&lt;2,5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Акустическая система КТРУ 26.40.31.190- 00000010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Вес,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 ю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4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4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Портативная, Точечный источник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Возможность использования в качестве сценического монитора (скошенный корпус)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Высота,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&gt;700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Глубина,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&lt;200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Импеданс, 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СЧ/НЧ-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динамиков,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аналоговых аудиовходов (каналов),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полос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Конструкция ВЧ-динамика и диафрагмы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Компрессионн 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Максимальная воспроизводимая частота, кГц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Максимальное звуковое давление,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&gt;120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Материал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Пластик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АЕ8,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КМ8,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выхода ЫМК 01ГГ (после обработки)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защитной решетки на передней части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износостойкого покрытия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сквозного выхода аналогового аудиосигнала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Номинальная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&gt;400 и &lt;500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Пиковая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&gt;800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5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Показатель неравномерности частотной характеристики для требуемого диапазона воспроизводимых частот, дБ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65"/>
        <w:gridCol w:w="1450"/>
        <w:gridCol w:w="638"/>
        <w:gridCol w:w="1675"/>
        <w:gridCol w:w="926"/>
        <w:gridCol w:w="370"/>
        <w:gridCol w:w="1310"/>
      </w:tblGrid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Программная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&gt;500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Размер СЧ/НЧ-динамнка, дюйм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&gt;3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Разъем для установки на стойку (стакан)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Способ размещения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Настенная, Установка на стойку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1Р44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Пассивная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соединителей аналоговых аудиовходов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Зреакоп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раскрытия по вертикали, градус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&gt;60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раскрытия по горизонтали,градус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&gt;60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Чувствительность,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Ширина, мм 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&lt;400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Акустическая система КТРУ 26.40.31.190- 00000010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Вес,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&lt;20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8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Портативная, Точечный источник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Возможность использования в качестве сценического монитора (скошенный корпус)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Высота,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Глубина,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Импеданс, 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СЧ/НЧ- динамиков,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аналоговых аудиовходов (каналов),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полос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Конструкция ВЧ-динамика и диафрагмы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Компрессионн 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Максимальная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воспроизводимая частота, кГц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Максимальное звуковое давление,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&gt;125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Материал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дерево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АЕ8,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Мощность КМ 8,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&gt;300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выхода ЫЫК. ОЦТ (после обработки)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защитной решетки на передней части корпуса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износостойкого покрытия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2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 сквозного выхода аналогового аудиосигнала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Номинальная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&gt;500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Пиковая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&gt;1200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Показатель неравномерности частотной характеристики для требуемого диапазона воспроизводимых частот,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Программная мощность, Вт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&gt;700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Размер СЧ/НЧ-динамнка, дюйм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&gt;8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2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Способ размещения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Напольная, Настенная, Настольная,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74"/>
        <w:gridCol w:w="1435"/>
        <w:gridCol w:w="643"/>
        <w:gridCol w:w="1666"/>
        <w:gridCol w:w="926"/>
        <w:gridCol w:w="374"/>
        <w:gridCol w:w="1315"/>
      </w:tblGrid>
      <w:tr>
        <w:trPr>
          <w:trHeight w:val="14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Подвесная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Степень защиты 1Р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1Р44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Пассивная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 соединителей аналоговых аудиовходов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Зреакоп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раскрытия по вертикали, градус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Угол раскрытия 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горизонтали,градус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Чувствительность, дБ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&gt;95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Ширгша,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2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Дистрибьютор питания КТРУ 26.40.51.000- 00000006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Количество линий, пгт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&gt;4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КТРУ</w:t>
            </w:r>
          </w:p>
        </w:tc>
      </w:tr>
      <w:tr>
        <w:trPr>
          <w:trHeight w:val="6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Для акустики, Для сабвуфера, Для силового кабеля, Для усилителя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Полярность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Комбинирован ная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Комплект коммутации для оборудования ОКПД- 2 26.40.50.000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4-контактный кабельный разъем типа Зреакоп, «мама»,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40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требованиями п.1 ч. 1 ст. 33 Федерального закона № 44-ФЗ (для закупаемого товара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КТРУ отсутствует соответствующая позиция)</w:t>
            </w:r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3-х контактный кабельный разъем типа ХЬК, "мама",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3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3-х контактный кабельный разъем типа ХЬК, "папа", 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Микрофонный кабель симметричный, экранированный,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Профессиональный двухжильный спикерами аудио кабель,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300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Рэковый шкаф ОКПД-2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26.40.51.000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Тип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напольный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1 шт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 соответствии с требованиями п.1 ч. 1 ст. 33 Федерального закона № 44-ФЗ (для закупаемого товара 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КТРУ отсутствует соответствующая позиция)</w:t>
            </w:r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Высота, 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&gt;22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Замок на дверце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Задняя стенка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Извлекаемые заглушки на задней стенке для вывода проводов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81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Корпус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металлический с перфорирован н ыми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направляющим 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Грузоподъемность,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&lt;150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Габаритные размеры, высота,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1040 и &lt;1055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Габаритные размеры, ширина,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540 и &lt; 555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Габаритные размеры, глубина,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&gt; 550 и &lt; 565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Вес, кг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&lt;35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42" w:hRule="exact"/>
        </w:trPr>
        <w:tc>
          <w:tcPr>
            <w:gridSpan w:val="7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Поставка, погрузочные и разгрузочные работы, а также пусконаладочные работы (ввод в эксплуатацию), обучение персонала Заказчика работе с оборудованием осуществляются силами и средствами Поставщика. Все инструменты, расходные материалы, фурнитура, необходимые для монтажа оборудования, обеспечиваются Поставщиком.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Установлено, что Заказчиком закупается товар в соответствии с позициями каталога товаров, работ, услуг (далее - КТРУ) - 26.40.43.110-00000002 «Сабвуфер», 26.40.31.190-00000010 «Акустическая система», 26.40.43..120-00000001 «Усилитель мощности», 26.40.51.000-00000005 . «Дистрибьютор питания», которые содержат в себя описание объекта закупки. Таким образом,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при описании объекта закупки рукодствовался сведениями, содержащимися в КТРУ.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позициям «Рама для подвеса», «Цифровой контроллер обработки сигнала», «Раковый шкаф (монтажная фурнитура, пусконаладочные работы, установка)», «Комплект коммутации для оборудования» отсутствует соответствующий КТРУ, поэтому Заказчик использует подходящий ОКПД-2 26.40.51.000 «Части и принадлежности звукового и видеооборудования», 26.30.11.190 «Аппаратура коммуникационная передающая с приемными устройствами прочая, не включенная в другие группировки» и описывает товар по правилам статьи 33 Закона о контрактной системе. В зависимости от своих потребностей Заказчик вправе установить конкретные требования к качеству, к техническим, функциональным характеристикам товара, к размерам, к упаковке, максимальным или минимальным значениям показателей, которые отвечают его потребностям и необходимы для выполнения соответствующих функций. Заказчик вправе в необходимой степени детализировать предмет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по рассмотрению жалобы Заказчиком были представлены коммерческие предложения от потенциальных Поставщиков, которые готовы поставить товар с техническими' характеристиками, установленными Заказчиком. А также ' предоставлена сравнительная таблица, из которой следует, что как минимум два производителя подходят под описание объекта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установленные Заказчиком в описании объекта закупки трбования, не ведут к ограничению количества участников, так как данная продукция имеется в открытой продаже на всей территории Российской Федерации различными компаниями, и позволяет принять участие в закупке неограниченному кругу хозяйствующих субъектов.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Действующее законодательство не накладывает на Заказчика при размещении заказа на поставку товаров обязанность учитывать интересы каждого участника рынка, осуществляющего реализацию товаров данной группы.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на момент размещения заказа у отдельных юридических и физических лиц, занимающихся реализацией звукового оборудования, товара с заявленными Заказчиком характеристиками, не является нарушением прав и законных интересов таких лиц, а также не является ограничением конкуренции.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Заявителем не представлено документов, подтверждающих обоснованность данного довода, а также свидетельствующих о нарушении Заказчиком норм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представлено доказательств того обстоятельства, что содержащиеся в закупке требования необоснованно создали одним участникам размещения закупки преимущество перед другими, являются непреодолимыми для некоторых участников размещения закупки, а также каким-либо иным образом повлекли за собой ограничение количества участников размещения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описание объекта закупки составлено в соответствии с требованиям Закона о контрактной системе, довод Заявителя является необоснованным.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второго довода Заявителя Комиссия Управления пояняет следующее.</w:t>
      </w:r>
      <w:bookmarkEnd w:id="1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довода жалобы Заявителя Заказчик в извещении не установил объем услуг по монтажу обрудования.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указано, что поставка, погрузочные и разгрузочные работы, а также пусконаладочные работы (ввод в эксплуатацию), обучение персонала Заказчика работе с оборудованием осуществляются силами и средствами Поставщика. Все инструменты, расходные материалы, фурнитура, необходимые для монтажа оборудования, обеспечиваются Поставщиком.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в описании объекта закупки не конкретизирует перечень и объем монтаж работ необходимых для установки звукового оборудования, что является нарушением положений пункта 1 части 1 статьи 33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вышеизложенного, довод Заявителя является обоснованным, Заказчиком нарушены положения пункта 1 части 1 статьи 33 Закона о контрактной системе ответственность за которое предусмотрена частью 1.4 статьи 7.30 Кодекса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своем доводе Заявитель указывает на то, что ни в Контракте, ни в извещении нет стоимости монтажа оборудавания.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части 8 статьи 99 Закона о контрактной системе установлено, что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9 статьи 99 Закона о контрактной системе, контроль в сфере закупок в соответствии с частью 8 настоящей статьи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настоящим Федеральным законом, Бюджетным кодексом Российской Федерации и принимаемыми в соответствии с ними нормативными правовыми актами Российской Федерации: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органом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полномочия Ханты-Мансийского УФАС России не входит рассмотрение доводов, касающихся определения и обоснования начальной (максимальной) цены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8 Федерального закона от 02.05.200614 59-ФЗ "О порядке рассмотрения обращений граждан Российской Федерации"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статьи 11 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указанный довод в части формирования НМЦК оставлен без рассмотрения, жалоба индивидуального предпринимателя Пономарева Михаила Дмитриевича (ИНН: 272399957915, ОГРНИП: 321272400001781) № 9698/24 от 27.07.2024 г., на действия Заказчика — бюджетного учреждения Нефтеюганского района "Центр спорта и культуры" при проведении запроса котировок в электронной форме, предметом которого является поставка и установка звукового оборудования для нужд КДЦ "Сияние Севера" (извещение № 0387300125924000025) направлена в Администрацию Нефтеюганского района для рассмотрения по существу в части определения и обоснования начальной (максимальной) цены контракта.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проведения внеплановой проверки Комиссией Управления установлено следующее.</w:t>
      </w:r>
      <w:bookmarkEnd w:id="2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15)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14'настоящего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5 Правил использования каталога товаров, работ, услуг для обеспечения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 утвержденных Постановлением Правительства РФ от 08.02.2017 И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заказчик вправе указать в извещении об осуществлении закупки, приглашении и документации о закупке (в.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И 616 "Об установлении запрета на допуск промышленных товаров, происходящих из 2024-3989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И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И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14 Закона о контрактной системе в целях защиты основ конститу</w:t>
        <w:softHyphen/>
        <w:t>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</w:t>
        <w:softHyphen/>
        <w:t>производителей нормативными правовыми актами Правительства Российской Федерации устанав</w:t>
        <w:softHyphen/>
        <w:t>ливаются запрет на допуск товаров, происходящих из иностранных государств, работ, услуг, соот</w:t>
        <w:softHyphen/>
        <w:t>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</w:t>
        <w:softHyphen/>
        <w:t>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</w:t>
        <w:softHyphen/>
        <w:t>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</w:t>
        <w:softHyphen/>
        <w:t>вых актах устанавливается порядок подготовки обоснования невозможности соблюдения указан</w:t>
        <w:softHyphen/>
        <w:t>ных запрета или ограничений, а также требования к его содержанию. Определение страны проис</w:t>
        <w:softHyphen/>
        <w:t>хождения указанных товаров осуществляется в соответствии с законодательством Российской Фе</w:t>
        <w:softHyphen/>
        <w:t>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Заказчиком установлены коды ОКПД-2: 26.40.43.110 «Усилители электриче</w:t>
        <w:softHyphen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ские звуковых частот», 26.40.31.190 «Аппаратура для воспроизведения звука прочая», 26.40.51.000 «Части и принадлежности звукового и видеооборудования», 26.40.43.120 «Установки электриче</w:t>
        <w:softHyphen/>
        <w:t>ских усилителей звука», 26.30.11.190 «Установки электрических усилителей звука».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Вышеуказанные коды ОКПД-2: 26.40.43.110 «Усилители электрические звуковых частот», 26.40.31.190 «Аппаратура для воспроизведения звука прочая», 26.40.51.000 «Части и принадлеж</w:t>
        <w:softHyphen/>
        <w:t>ности звукового и видеооборудования», 26.40.43.120 «Установки электрических усилителей зву</w:t>
        <w:softHyphen/>
        <w:t>ка», 26.30.11.190 «Установки электрических усилителей звука» включены в перечень радиоэлек</w:t>
        <w:softHyphen/>
        <w:t>тронной продукции, происходящей из иностранных государств, в отношении которых устанавли</w:t>
        <w:softHyphen/>
        <w:t>ваются ограничения для целей осуществления закупок для обеспечения государственных и муни</w:t>
        <w:softHyphen/>
        <w:t>ципальных нужд.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№ 0387300125924000025 Заказчиком установлены следующее требо</w:t>
        <w:softHyphen/>
        <w:t>вания к участникам: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91" w:val="left"/>
        </w:tabs>
        <w:bidi w:val="0"/>
        <w:spacing w:before="0" w:after="0" w:line="252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Единые требования к участникам закупок в соответствии с ч. 1 ст. 31 Закона № 44-ФЗ.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6" w:val="left"/>
        </w:tabs>
        <w:bidi w:val="0"/>
        <w:spacing w:before="0" w:after="0" w:line="252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44-ФЗ.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97" w:val="left"/>
        </w:tabs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об отсутствии в реестре недобросовестных поставщиков (подрядчиков, ис</w:t>
        <w:softHyphen/>
        <w:t>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Ограничения: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leader="underscore" w:pos="6638" w:val="left"/>
        </w:tabs>
        <w:bidi w:val="0"/>
        <w:spacing w:before="0" w:after="0" w:line="25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1. Запрет на допуск товаров, работ, услуг при осуществлении закупок, а также ограничения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условия допуска в соответствии с требованиями, установленными ст. 14 Закона № 44-ФЗ.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</w:p>
    <w:tbl>
      <w:tblPr>
        <w:tblOverlap w:val="never"/>
        <w:jc w:val="center"/>
        <w:tblLayout w:type="fixed"/>
      </w:tblPr>
      <w:tblGrid>
        <w:gridCol w:w="898"/>
        <w:gridCol w:w="5774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Условие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Участникам, заявки или окончательные предложения которых содержат предложения о поставке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допуска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товаров в соответствии с приказом Минфина России № 126н от 04.06.2018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Заказчиком в извещении не установлены требования к то</w:t>
        <w:softHyphen/>
        <w:t>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</w:t>
        <w:softHyphen/>
        <w:t>смотрена документация о закупке), а именно требования установленные Постановлением Прави</w:t>
        <w:softHyphen/>
        <w:t>тельства РФ от 10.07.2019 К 878 "О мерах стимулирования производства радиоэлектронной про</w:t>
        <w:softHyphen/>
        <w:t>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И 925 и признании утратившими си</w:t>
        <w:softHyphen/>
        <w:t>лу некоторых актов Правительства Российской Федерации" (вместе с "Правилами формирования и ведения единого реестра российской радиоэлектронной продукции").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Заказчиком нарушены положения пункта 15 части 1 статьи 42 Закона о контрактной системе,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22 статьи 99 Закона о контрактной системе,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решила выдать обязательное для исполнения предпи</w:t>
        <w:softHyphen/>
        <w:t>сание.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индивидуального предпринимателя Пономарева Михаила Дмитриевича (ИНН: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272399957915, ОГРНИП: 321272400001781) № 9698/24 от 27.07.2024 г. рассмотрена Комиссией Управления в соответствии с требованиями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both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1764665</wp:posOffset>
            </wp:positionH>
            <wp:positionV relativeFrom="margin">
              <wp:posOffset>2854325</wp:posOffset>
            </wp:positionV>
            <wp:extent cx="2566670" cy="218249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66670" cy="21824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статей 99, 106 Закона о контрактной системе, Комиссия Управления,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2"/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6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Пономарева Михаила Дмитриевича (ИНН: 272399957915, ОГРНИП: 321272400001781) № 9698/24 от 27.07.2024 г., на действия Заказчика — бюджетного учреждения Нефтеюганского района "Центр спорта и культуры" при проведении запроса котировок в электронной форме, предметом которого является поставка и установка звукового оборудования для нужд КДЦ "Сияние Севера" (извещение № 0387300125924000025) частично обоснованной:</w:t>
      </w:r>
    </w:p>
    <w:p>
      <w:pPr>
        <w:pStyle w:val="Style1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846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довод необоснованный,</w:t>
      </w:r>
    </w:p>
    <w:p>
      <w:pPr>
        <w:pStyle w:val="Style1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846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Второй довод обоснованный.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6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в действиях Заказчика - Бюджетного учреждения Нефтеюганского района "Центр спорта и культуры" нарушение положений пункта 1 части 1 статьи 33, пункта 15 части 1 статьи 12 Федерального закона от 05.04.2013 И 44-ФЗ «О контрактной системе в сфере закупок товаров, работ, услуг для обеспечения государственных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муниципальных нужд».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52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материалы дела в Администрацию Нефтеюганского района.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6" w:val="left"/>
        </w:tabs>
        <w:bidi w:val="0"/>
        <w:spacing w:before="0" w:after="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ответственное^./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6" w:val="left"/>
          <w:tab w:pos="5352" w:val="left"/>
        </w:tabs>
        <w:bidi w:val="0"/>
        <w:spacing w:before="0" w:after="540" w:line="252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официальнохусайте .единой информационной системы в сфере закупок (\у\у\у.хакирк1.§оу.ги).</w:t>
        <w:tab/>
      </w:r>
      <w:r>
        <w:rPr>
          <w:color w:val="392B8A"/>
          <w:spacing w:val="0"/>
          <w:w w:val="100"/>
          <w:position w:val="0"/>
          <w:shd w:val="clear" w:color="auto" w:fill="auto"/>
          <w:lang w:val="ru-RU" w:eastAsia="ru-RU" w:bidi="ru-RU"/>
        </w:rPr>
        <w:t>// / /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520" w:firstLine="0"/>
        <w:jc w:val="right"/>
      </w:pPr>
      <w:r>
        <mc:AlternateContent>
          <mc:Choice Requires="wps">
            <w:drawing>
              <wp:anchor distT="0" distB="447675" distL="114300" distR="208915" simplePos="0" relativeHeight="125829378" behindDoc="0" locked="0" layoutInCell="1" allowOverlap="1">
                <wp:simplePos x="0" y="0"/>
                <wp:positionH relativeFrom="page">
                  <wp:posOffset>3997960</wp:posOffset>
                </wp:positionH>
                <wp:positionV relativeFrom="margin">
                  <wp:posOffset>3729355</wp:posOffset>
                </wp:positionV>
                <wp:extent cx="655320" cy="1282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14.80000000000001pt;margin-top:293.65000000000003pt;width:51.600000000000001pt;height:10.1pt;z-index:-125829375;mso-wrap-distance-left:9.pt;mso-wrap-distance-right:16.449999999999999pt;mso-wrap-distance-bottom:35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54025" distB="0" distL="123190" distR="114935" simplePos="0" relativeHeight="125829380" behindDoc="0" locked="0" layoutInCell="1" allowOverlap="1">
                <wp:simplePos x="0" y="0"/>
                <wp:positionH relativeFrom="page">
                  <wp:posOffset>4006850</wp:posOffset>
                </wp:positionH>
                <wp:positionV relativeFrom="margin">
                  <wp:posOffset>4183380</wp:posOffset>
                </wp:positionV>
                <wp:extent cx="740410" cy="12192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15.5pt;margin-top:329.40000000000003pt;width:58.300000000000004pt;height:9.5999999999999996pt;z-index:-125829373;mso-wrap-distance-left:9.7000000000000011pt;mso-wrap-distance-top:35.75pt;mso-wrap-distance-right:9.050000000000000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М.С. Смоль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00"/>
        <w:jc w:val="both"/>
        <w:rPr>
          <w:sz w:val="10"/>
          <w:szCs w:val="10"/>
        </w:rPr>
      </w:pP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Решение. принятое по результата.» рассмотрения жалобы по существу, может быть обжаловано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pgSz w:w="8400" w:h="11900"/>
      <w:pgMar w:top="543" w:right="683" w:bottom="1274" w:left="93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649605</wp:posOffset>
              </wp:positionH>
              <wp:positionV relativeFrom="page">
                <wp:posOffset>6811010</wp:posOffset>
              </wp:positionV>
              <wp:extent cx="414655" cy="7302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465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2024-7271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1.149999999999999pt;margin-top:536.29999999999995pt;width:32.649999999999999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2024-7271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735965</wp:posOffset>
              </wp:positionH>
              <wp:positionV relativeFrom="page">
                <wp:posOffset>6680200</wp:posOffset>
              </wp:positionV>
              <wp:extent cx="423545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354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2024-7271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950000000000003pt;margin-top:526.pt;width:33.35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2024-7271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0">
    <w:name w:val="Подпись к таблиц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singl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20"/>
      <w:ind w:firstLine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100" w:line="226" w:lineRule="auto"/>
      <w:ind w:left="6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ind w:firstLine="2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9">
    <w:name w:val="Подпись к таблице"/>
    <w:basedOn w:val="Normal"/>
    <w:link w:val="CharStyle20"/>
    <w:pPr>
      <w:widowControl w:val="0"/>
      <w:shd w:val="clear" w:color="auto" w:fill="auto"/>
      <w:spacing w:line="24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singl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