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3500" distB="38100" distL="114300" distR="114300" simplePos="0" relativeHeight="125829379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1322705</wp:posOffset>
                </wp:positionV>
                <wp:extent cx="2578735" cy="144780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447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04,10,2024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 41101/24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pt;margin-top:104.15000000000001pt;width:203.05000000000001pt;height:114.pt;z-index:-125829374;mso-wrap-distance-left:9.pt;mso-wrap-distance-top:5.pt;mso-wrap-distance-right:9.pt;mso-wrap-distance-bottom:3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04,10,2024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ab/>
                        <w:t>№ 41101/24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ИКБ № 2 ДЗМ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1огд11&lt;Ь2@/с1гау.тоуп1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Гордеев Д.А.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до^4ееVа025@уап4еx.^и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98" w:right="2629" w:bottom="621" w:left="1601" w:header="0" w:footer="3" w:gutter="0"/>
          <w:pgNumType w:start="1"/>
          <w:cols w:num="2" w:space="720" w:equalWidth="0">
            <w:col w:w="3221" w:space="1584"/>
            <w:col w:w="2866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before="67" w:after="6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64" w:right="0" w:bottom="55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077/06/106-13233/2024 о нарушении</w:t>
        <w:br/>
        <w:t>законодательства о контрактной системе</w:t>
        <w:br/>
        <w:t>02.10.2024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ИКБ № 2 ДЗМ: А.Ю. Чупаевой (дов.№б/н от 01.02.2024), Д.В. Кленина (доверенность от 01.10.2024 №б/н), С.С. Попова (доверенность от 24.05.2024 №б/н),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Гордеев Д.А.,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6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Гордеев Д.А. (далее — Заявитель) на действия ГБУЗ ИКБ № 2 ДЗМ (далее — Заказчик) при проведении электронного аукциона на право заключения государственного контракта на выполнение работ по очистке наледеобразующих кровель от снега и сосулек для нужд ГБУЗ ИКБ №2 ДЗМ в 2024-2025 гг. (Закупка № 0373200053624000512) (далее —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муниципальных нужд» (далее —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представленные документы и сведения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Заказчиком неправомерно не установлены дополнительные требования к участникам закупочной процедуры в соответствии с п.14 приложения «Дополнительные требования к участникам закупки отдельных видов товаров, работ, услуг для обеспечения государственных и муниципальных нужд» (далее — Приложение) Постановления Правительства №2571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— Постановление №2571).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2.1 ст.31 Закона о контрактной системе, устанавливается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пп.«а» п.1 Постановления №2571 установлено, что к участникам закупки отдельных видов товаров, работ, услуг предъявляются дополнительные требования согласно Приложению. Соответствие участников закупки указанным дополнительным требованиям подтверждается информацией и документами, предусмотренными Приложением.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пп.«а» п.3 Постановления №2571 положения Постановления №2571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применяются при проведении конкурентных способов определения поставщиков (подрядчиков, исполнителей), при этом: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-позиция Приложения применяется с учетом положений п.3 Постановления №2571 в случае, если объект закупки включает один или несколько закупаемых товаров, работ, услуг, указанных в приложении в соответствующей позиции графы «Наименование отдельных видов товаров, работ, услуг, являющихся объектом закупки, наименование товаров, работ, услуг, являющихся объектом отдельных видов закупок»;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-позиции 14, 15 и 36 Приложения применяются в случае, если при осуществлении закупки начальная (максимальная) цена контракта превышает 1 млн.рублей.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п.14 Приложения при проведении закупочной процедуры объектом которой являются работы, услуги по техническому обслуживанию зданий, сооружений к участникам закупочной процедуры предъявляются дополнительные требования о наличие опыта исполнения участником закупки договора, предусматривающего выполнение работ, оказание услуг по техническому обслуживанию зданий, сооружений.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п.9 ч.1 ст.42 Закона о контрактной системе извещение об осуществлении закупки должно содержать, в том числе, информацию о начальной (максимальной) цене контракта (цена отдельных этапов исполнения контракта, если проектом контракта предусмотрены такие этапы).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что, согласно извещению об осуществлении закупки, объектом конкурентной процедуры является выполнение работ по очистке наледеобразующих кровель от снега и сосулек для нужд ГБУЗ ИКБ №2 ДЗМ в 2024-2025 гг, при этом начальная (максимальная) цена контракта составляет 4 814 372,49 руб.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2024-46239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описании объекта закупки в том числе указано следующее: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-2.1 Исполнитель оказывает услуги по: очистке крыш (в том числе свесов, карнизов, желобов, воронок водосточных труб и внутренних водостоков), а также козырьков, входных групп и других выступающих элементов фасада (далее - выступающих элементов фасада) от снега, наледи и сосулек; (далее - услуги) в соответствии с Приложением 1 «Перечень объектов закупки» и Приложением 3 «Сметная документация» к настоящему Техническому заданию, с требованиями действующих нормативных правовых и нормативных технических актов, указанных в разделе 7 «Перечень нормативных технических и нормативных правовых актов» настоящего Технического задания;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«3.5 Очистка крыши от снега, наледи и сосулек включает в себя: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3.5.1 Установку и снятие защитных лотков на водоприемные воронки водосточных труб и внутренних водостоков.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3.5.2 Изготовление, установку и снятие на крыше приспособлений и устройств, позволяющих повысить безопасность оказания услуг (при необходимости).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3.5.3 Ручную очистку крыши от снега, наледи (по всей площади крыши): очищать крышу от снега следует со всех ее скатов, начиная от карнизов к коньку равномерно, не допуская перегрузки от снега отдельных участков. Для предохранения кровельного покрытия от повреждений снег убирается с крыши не полностью, а оставляется слой толщиной не менее 5 см. Также с крыши не снимается и тонкий слой льда, за исключением свесов, где полная очистка необходима для предупреждения образования наледей и сосулек.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3.5.4 Очистку крыш от сосулек.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3.5.5 Очистку от снега, наледи и сосулек карнизов, желобов, воронок водосточных труб и внутренних водостоков, а также выступающих элементов фасада.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3.6 Исполнитель, после каждой проведенной очистки крыши производит: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демонтаж защитных ограждений и предупреждающих знаков;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уборку тротуаров от снега, наледи и сосулек, сброшенных во время оказания услуг, путем перемещения снега, наледи и сосулек в места, указанные Заказчиком;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5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очистку отмосток и территории по всему периметру здания на расстоянии 1,5 (полтора) метра от наружной стены от снега, наледи и сосулек».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64" w:right="541" w:bottom="557" w:left="110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ч.5 ст.31 Закона о контрактной системе информация об установленных требованиях в соответствии с частями 1, 1.1, 2 и 2.1 ст.31 Закона контрактной системе указывается заказчиком в извещении об осуществлении закупки и документации о закупке (в случае, если Законом о контрактной системе предусмотрена документация о закупке).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п.12 ч.1 ст.42 Закона о контрактной системе извещение об осуществлении закупки должно содержать требования, предъявляемые к участникам закупки в соответствии с ч.1 ст.31 Закона о контрактной системе, требования, предъявляемые к участникам закупки в соответствии с ч.2 и 2.1 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ст.31 Закона о контрактной системе (при наличии такого требования).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Комиссией Управления установлено, что в извещении об осуществлении закупки установлены дополнительные требования к участникам закупки в соответствии с поз.36 приложения к Постановлению №2571.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объектом закупки является выполнение работ по очистке наледеобразующих кровель от снега и сосулек, при этом Заказчик руководствовался положениями национального стандарта ГОСТ Р 51870-2014 приложение Б, пункт Б9 согласно которому в том числе указаны работы по очистке крыш от снега и льда, очистка пешеходных зон, парковок и проезжих частей от сброшенного снега и льда, ввиду чего дополнительные требования к участникам закупки в соответствии с п.14 Приложения не устанавливались Заказчиком.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Комиссия Управления считает необходимым отметить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ч.8 ст.55.24 Градостроительного кодекса Российской Федерации техническое обслуживание зданий, сооружений, текущий ремонт зданий, сооружений проводятся в целях обеспечения надлежащего технического состояния таких зданий, сооружений. Под надлежащим техническим состоянием зданий, сооружений понимаются поддержание параметров устойчивости, надежности зданий, сооружений, а также исправность строительных конструкций, систем инженерно-технического обеспечения, сетей инженерно-технического обеспечения, их элементов в соответствии с требованиями технических регламентов, проектной документации и в соответствии с исполнительной документацией.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13"/>
          <w:footerReference w:type="default" r:id="rId14"/>
          <w:headerReference w:type="even" r:id="rId15"/>
          <w:footerReference w:type="even" r:id="rId16"/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64" w:right="541" w:bottom="557" w:left="110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П.6 ст.2 Федерального закона от 30.12.2009 №384-ФЗ «Технический регламент о безопасности зданий и сооружений» (далее — Закон №384-ФЗ) установлено, что здание - это результат строительства, представляющий собой объемную строительную систему, имеющую надземную и (или) подземную части, включающую в себя помещения, сети инженерно-технического обеспечения и системы инженерно-технического обеспечения и предназначенную для проживания и (или) деятельности людей, размещения производства, хранения продукции или содержания животных.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П.24 ст.2 Закон №384-ФЗ строительная конструкция - это часть здания или сооружения, выполняющая определенные несущие, ограждающие и (или) эстетические функции.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 Комиссия Управления приходит к выходу, кровля здания (крыша здания) является строительной конструкций здания.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Вместе с этим Комиссией Управления установлено, что Свод Правил «СП 255.1325800.2016. Свод правил. Здания и сооружения. Правила эксплуатации. Основные положения» (далее - СП 255.1325800.2016) устанавливает общие эксплуатационные требования к зданиям и сооружениям в условиях нормальной эксплуатации, при этом, п.3.11 СП 255.1325800.2016 определено, что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текущее обслуживание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- это поддержание надлежащего технического состояния зданий (сооружений) в части параметров устойчивости, надежности, а также исправности строительных конструкций, систем инженерно-технического обеспечения, сетей инженерно-технического обеспечения, их элементов в соответствии с требованиями технических регламентов, проектной документации.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Также п.9.2 СП 255.1325800.2016 определено, что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 работ по текущему обслуживанию входят: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64" w:val="left"/>
        </w:tabs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исправление незначительных неисправностей, выявленных в ходе осмотров;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64" w:val="left"/>
        </w:tabs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проведение регламентных работ по регулировке и наладке систем инженерно-технического обеспечения, в том числе при подготовке к сезонной эксплуатации;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64" w:val="left"/>
        </w:tabs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проведение работ по подготовке здания (сооружения) к сезонной эксплуатации;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64" w:val="left"/>
          <w:tab w:pos="2131" w:val="left"/>
          <w:tab w:pos="3139" w:val="left"/>
        </w:tabs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санитарное</w:t>
        <w:tab/>
        <w:t>содержание помещений здания (сооружения) 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прилегающей территории;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64" w:val="left"/>
          <w:tab w:pos="211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уборка снега;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64" w:val="left"/>
          <w:tab w:pos="2111" w:val="left"/>
          <w:tab w:pos="3139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обеспечение</w:t>
        <w:tab/>
        <w:t>работоспособности систем (станций) мониторинга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технического состояния и динамического поведения конструкций и прилегающих грунтов (если такие системы установлены).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состав услуг (работ) по текущему обслуживанию (техническому обслуживанию) здания уборка снега выделена в отдельную категорию.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 п.11.3 СП 255.1325800.2016 определено, что для предохранения строительных конструкций и оснований зданий (сооружений) от воздействия атмосферных осадков и грунтовых вод следует в том числе обеспечивать своевременную очистку и удаления наледей и сосулек с карнизов и уборку, при необходимости, снега с кровли, организовывать уборку снега от стен здания (сооружения) на расстоянии не менее 2 м при наступлении оттепелей.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20"/>
        <w:jc w:val="both"/>
        <w:rPr>
          <w:sz w:val="22"/>
          <w:szCs w:val="22"/>
        </w:rPr>
        <w:sectPr>
          <w:headerReference w:type="default" r:id="rId17"/>
          <w:footerReference w:type="default" r:id="rId18"/>
          <w:headerReference w:type="even" r:id="rId19"/>
          <w:footerReference w:type="even" r:id="rId20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692" w:left="1106" w:header="0" w:footer="264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Исходя из вышеизложенного Комиссия Управления приходит к выводу, что объектом закупки является выполнение работ по очистке наледеобразующих кровель от снега и сосулек, которые относятся к работам по текущему обслуживанию здания, в соответствии с положениями п.9.2 СП 255.1325800.2016,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2024-46239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п.11.3 СП 255.1325800.2016, а также, согласно п.9.1 указанного свода правил, текущее обслуживание здания включает в себя подготовку здания (сооружения), его элементов и систем к сезонной эксплуатации, что является одной из задач технического обслуживания здания, следовательно, Заказчику надлежало установить дополнительные требования к участникам закупки в соответствии с п.14 Приложения к постановлению №2571, применяемым при проведении закупки, объектом которой являются работы, услуги по техническому обслуживанию зданий, сооружений.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Комиссией Управления приходит к выводу, что объект закупочной процедуры относится к п.14 Приложения, при этом начальная (максимальная) цена контракта, на заключение которого проводится закупка, превышает 1 млн. руб., ввиду чего Заказчику надлежало установить дополнительные требования к участникам закупки в соответствии с п.14 Приложения.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нарушении Заказчиком ч.4, 6 ст.31, п.12 ч.1 ст.42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ч.4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60"/>
        <w:jc w:val="both"/>
        <w:sectPr>
          <w:headerReference w:type="default" r:id="rId21"/>
          <w:footerReference w:type="default" r:id="rId22"/>
          <w:headerReference w:type="even" r:id="rId23"/>
          <w:footerReference w:type="even" r:id="rId24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06" w:val="left"/>
        </w:tabs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Гордеев Д.А. на действия ГБУЗ ИКБ № 2 ДЗМ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06" w:val="left"/>
        </w:tabs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нарушение ч.4, 6 ст.31, п.12 ч.1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06" w:val="left"/>
        </w:tabs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06" w:val="left"/>
        </w:tabs>
        <w:bidi w:val="0"/>
        <w:spacing w:before="0" w:after="24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 (Арбитражном суде г. Москвы) в порядке, установленном гл. 24 АПК РФ, в течение 3(трех) месяцев с даты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154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870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96110" cy="25273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57.950000000000003pt;margin-top:10.pt;width:149.30000000000001pt;height:19.900000000000002pt;z-index:-125829372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6370" distB="0" distL="0" distR="1789430" simplePos="0" relativeHeight="125829383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166370</wp:posOffset>
            </wp:positionV>
            <wp:extent cx="389890" cy="572770"/>
            <wp:wrapTopAndBottom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601980</wp:posOffset>
                </wp:positionV>
                <wp:extent cx="1280160" cy="1035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81.15000000000003pt;margin-top:47.399999999999999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291465</wp:posOffset>
                </wp:positionV>
                <wp:extent cx="1725295" cy="2559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77.55000000000001pt;margin-top:22.949999999999999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870" distL="0" distR="0" simplePos="0" relativeHeight="125829384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127000</wp:posOffset>
                </wp:positionV>
                <wp:extent cx="1029970" cy="25273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487.05000000000001pt;margin-top:10.pt;width:81.100000000000009pt;height:19.900000000000002pt;z-index:-125829369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000590946031СЕ073ВЕ5С506ЕЕ7501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0760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05.06.2025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81.15000000000003pt;margin-top:36.700000000000003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277.55000000000001pt;margin-top:12.20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F7F7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008АВСВВ24Э1В04705С4В0130528702ЕАЕ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11.07.2024 по </w:t>
      </w:r>
      <w:r>
        <w:rPr>
          <w:color w:val="7F7F7F"/>
          <w:spacing w:val="0"/>
          <w:w w:val="100"/>
          <w:position w:val="0"/>
          <w:shd w:val="clear" w:color="auto" w:fill="auto"/>
          <w:lang w:val="ru-RU" w:eastAsia="ru-RU" w:bidi="ru-RU"/>
        </w:rPr>
        <w:t>04.10.2025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49" name="Shape 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box 50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466090</wp:posOffset>
                </wp:positionV>
                <wp:extent cx="1280160" cy="103505"/>
                <wp:wrapNone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281.15000000000003pt;margin-top:36.700000000000003pt;width:100.8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277.55000000000001pt;margin-top:12.200000000000001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Матюшенко Александр Александрович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>2Е366ЕОЗОЕЕ902Э8968РА4В2С7О60465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240" w:line="26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20.05.2024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13.08.2025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Исп.Гугава Э.З. тел.495-784-75-05 вн.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10105390</wp:posOffset>
              </wp:positionV>
              <wp:extent cx="72263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2024-46239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200000000000003pt;margin-top:795.70000000000005pt;width:56.8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2024-46239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2024-46239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pt;margin-top:804.5pt;width:57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2024-46239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10105390</wp:posOffset>
              </wp:positionV>
              <wp:extent cx="72263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2024-46239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200000000000003pt;margin-top:795.70000000000005pt;width:56.89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2024-46239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10105390</wp:posOffset>
              </wp:positionV>
              <wp:extent cx="722630" cy="1003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2024-46239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7.200000000000003pt;margin-top:795.70000000000005pt;width:56.899999999999999pt;height:7.90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2024-46239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10105390</wp:posOffset>
              </wp:positionV>
              <wp:extent cx="722630" cy="10033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2024-46239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57.200000000000003pt;margin-top:795.70000000000005pt;width:56.899999999999999pt;height:7.9000000000000004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2024-46239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10105390</wp:posOffset>
              </wp:positionV>
              <wp:extent cx="722630" cy="100330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2024-46239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57.200000000000003pt;margin-top:795.70000000000005pt;width:56.899999999999999pt;height:7.9000000000000004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2024-46239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190500</wp:posOffset>
              </wp:positionV>
              <wp:extent cx="5778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35000000000002pt;margin-top:15.pt;width:4.5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44999999999999pt;margin-top:37.5pt;width:4.54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44999999999999pt;margin-top:37.5pt;width:4.5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9.44999999999999pt;margin-top:37.5pt;width:4.5499999999999998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190500</wp:posOffset>
              </wp:positionV>
              <wp:extent cx="57785" cy="10350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309.35000000000002pt;margin-top:15.pt;width:4.5499999999999998pt;height:8.150000000000000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190500</wp:posOffset>
              </wp:positionV>
              <wp:extent cx="57785" cy="103505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309.35000000000002pt;margin-top:15.pt;width:4.5499999999999998pt;height:8.1500000000000004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309.44999999999999pt;margin-top:37.5pt;width:4.5499999999999998pt;height:8.1500000000000004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309.44999999999999pt;margin-top:37.5pt;width:4.5499999999999998pt;height:8.1500000000000004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Колонтитул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676767"/>
      <w:sz w:val="12"/>
      <w:szCs w:val="12"/>
      <w:u w:val="none"/>
    </w:rPr>
  </w:style>
  <w:style w:type="character" w:customStyle="1" w:styleId="CharStyle33">
    <w:name w:val="Основной текст (4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Колонтитул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76767"/>
      <w:sz w:val="12"/>
      <w:szCs w:val="12"/>
      <w:u w:val="none"/>
    </w:rPr>
  </w:style>
  <w:style w:type="paragraph" w:customStyle="1" w:styleId="Style32">
    <w:name w:val="Основной текст (4)"/>
    <w:basedOn w:val="Normal"/>
    <w:link w:val="CharStyle33"/>
    <w:pPr>
      <w:widowControl w:val="0"/>
      <w:shd w:val="clear" w:color="auto" w:fill="auto"/>
      <w:spacing w:after="3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header" Target="header6.xml"/><Relationship Id="rId18" Type="http://schemas.openxmlformats.org/officeDocument/2006/relationships/footer" Target="footer6.xml"/><Relationship Id="rId19" Type="http://schemas.openxmlformats.org/officeDocument/2006/relationships/header" Target="header7.xml"/><Relationship Id="rId20" Type="http://schemas.openxmlformats.org/officeDocument/2006/relationships/footer" Target="footer7.xml"/><Relationship Id="rId21" Type="http://schemas.openxmlformats.org/officeDocument/2006/relationships/header" Target="header8.xml"/><Relationship Id="rId22" Type="http://schemas.openxmlformats.org/officeDocument/2006/relationships/footer" Target="footer8.xml"/><Relationship Id="rId23" Type="http://schemas.openxmlformats.org/officeDocument/2006/relationships/header" Target="header9.xml"/><Relationship Id="rId24" Type="http://schemas.openxmlformats.org/officeDocument/2006/relationships/footer" Target="footer9.xml"/><Relationship Id="rId25" Type="http://schemas.openxmlformats.org/officeDocument/2006/relationships/image" Target="media/image2.jpeg"/><Relationship Id="rId26" Type="http://schemas.openxmlformats.org/officeDocument/2006/relationships/image" Target="media/image2.jpeg" TargetMode="External"/><Relationship Id="rId27" Type="http://schemas.openxmlformats.org/officeDocument/2006/relationships/image" Target="media/image3.jpeg"/><Relationship Id="rId28" Type="http://schemas.openxmlformats.org/officeDocument/2006/relationships/image" Target="media/image3.jpeg" TargetMode="External"/><Relationship Id="rId29" Type="http://schemas.openxmlformats.org/officeDocument/2006/relationships/image" Target="media/image4.jpeg"/><Relationship Id="rId30" Type="http://schemas.openxmlformats.org/officeDocument/2006/relationships/image" Target="media/image4.jpeg" TargetMode="External"/></Relationships>
</file>