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536575" cy="615950"/>
            <wp:docPr id="1" name="Picut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36575" cy="6159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widowControl w:val="0"/>
        <w:spacing w:after="139" w:line="1" w:lineRule="exact"/>
      </w:pP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40" w:line="288" w:lineRule="auto"/>
        <w:ind w:left="0" w:right="0" w:firstLine="0"/>
        <w:jc w:val="center"/>
        <w:rPr>
          <w:sz w:val="17"/>
          <w:szCs w:val="17"/>
        </w:rPr>
      </w:pPr>
      <w:r>
        <w:rPr>
          <w:b/>
          <w:bCs/>
          <w:spacing w:val="0"/>
          <w:w w:val="100"/>
          <w:position w:val="0"/>
          <w:sz w:val="17"/>
          <w:szCs w:val="17"/>
          <w:shd w:val="clear" w:color="auto" w:fill="auto"/>
          <w:lang w:val="ru-RU" w:eastAsia="ru-RU" w:bidi="ru-RU"/>
        </w:rPr>
        <w:t>ФЕДЕРАЛЬНАЯ</w:t>
        <w:br/>
        <w:t>АНТИМОНОПОЛЬНАЯ СЛУЖБА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УПРАВЛЕНИЕ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Федеральной антимонопольной службы</w:t>
        <w:br/>
        <w:t>по Липецкой области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69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пл. Плеханова, 1, г. Липецк, 398050</w:t>
        <w:br/>
        <w:t>телефакс (4742) 27-14-82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69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е-таП: 1о48@Газ. §оу.ги 11йр://11ре1бк.Га8.доу.ги</w:t>
      </w:r>
    </w:p>
    <w:p>
      <w:pPr>
        <w:pStyle w:val="Style10"/>
        <w:keepNext/>
        <w:keepLines/>
        <w:widowControl w:val="0"/>
        <w:shd w:val="clear" w:color="auto" w:fill="auto"/>
        <w:tabs>
          <w:tab w:pos="1838" w:val="left"/>
        </w:tabs>
        <w:bidi w:val="0"/>
        <w:spacing w:before="0" w:line="240" w:lineRule="auto"/>
        <w:ind w:left="0" w:right="0" w:firstLine="0"/>
        <w:jc w:val="center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0</w:t>
      </w:r>
      <w:r>
        <w:fldChar w:fldCharType="begin"/>
      </w:r>
      <w:r>
        <w:rPr/>
        <w:instrText> HYPERLINK "file://f207ca94-a13c-4ba0-b72d-f018c9eed8f1/" </w:instrText>
      </w:r>
      <w:r>
        <w:fldChar w:fldCharType="separate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7.10.2024</w:t>
      </w:r>
      <w:r>
        <w:rPr>
          <w:color w:val="000000"/>
          <w:spacing w:val="0"/>
          <w:w w:val="100"/>
          <w:position w:val="0"/>
          <w:u w:val="none"/>
          <w:shd w:val="clear" w:color="auto" w:fill="auto"/>
          <w:lang w:val="ru-RU" w:eastAsia="ru-RU" w:bidi="ru-RU"/>
        </w:rPr>
        <w:tab/>
      </w:r>
      <w:r>
        <w:fldChar w:fldCharType="end"/>
      </w:r>
      <w:r>
        <w:rPr>
          <w:color w:val="000000"/>
          <w:spacing w:val="0"/>
          <w:w w:val="100"/>
          <w:position w:val="0"/>
          <w:u w:val="none"/>
          <w:shd w:val="clear" w:color="auto" w:fill="auto"/>
          <w:lang w:val="ru-RU" w:eastAsia="ru-RU" w:bidi="ru-RU"/>
        </w:rPr>
        <w:t xml:space="preserve">№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ИП/6276/2</w:t>
      </w:r>
      <w:r>
        <w:rPr>
          <w:color w:val="000000"/>
          <w:spacing w:val="0"/>
          <w:w w:val="100"/>
          <w:position w:val="0"/>
          <w:u w:val="none"/>
          <w:shd w:val="clear" w:color="auto" w:fill="auto"/>
          <w:lang w:val="ru-RU" w:eastAsia="ru-RU" w:bidi="ru-RU"/>
        </w:rPr>
        <w:t>4</w:t>
      </w:r>
      <w:bookmarkEnd w:id="0"/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66" w:lineRule="auto"/>
        <w:ind w:left="0" w:right="0" w:firstLine="0"/>
        <w:jc w:val="left"/>
        <w:rPr>
          <w:sz w:val="18"/>
          <w:szCs w:val="18"/>
        </w:rPr>
      </w:pPr>
      <w:r>
        <w:rPr>
          <w:color w:val="476199"/>
          <w:spacing w:val="0"/>
          <w:w w:val="100"/>
          <w:position w:val="0"/>
          <w:sz w:val="18"/>
          <w:szCs w:val="18"/>
          <w:shd w:val="clear" w:color="auto" w:fill="auto"/>
          <w:lang w:val="ru-RU" w:eastAsia="ru-RU" w:bidi="ru-RU"/>
        </w:rPr>
        <w:t xml:space="preserve">На №  от</w:t>
      </w:r>
    </w:p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2597150" cy="182880"/>
            <wp:docPr id="2" name="Picut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2597150" cy="18288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ООО "БРОКЕР ГРУПП" оооЛеп4ег.Ъгокег77@дтаП.сот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Муниципальное казенное учреждение «Центр компетенции в сфере бухгалтерского учета и муниципального заказа Липецкого муниципального района» /акурка48@та1кги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Администрация сельского поселения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footerReference w:type="default" r:id="rId9"/>
          <w:footerReference w:type="first" r:id="rId10"/>
          <w:footnotePr>
            <w:pos w:val="pageBottom"/>
            <w:numFmt w:val="decimal"/>
            <w:numRestart w:val="continuous"/>
          </w:footnotePr>
          <w:pgSz w:w="11900" w:h="16840"/>
          <w:pgMar w:top="284" w:right="647" w:bottom="1318" w:left="1140" w:header="0" w:footer="3" w:gutter="0"/>
          <w:pgNumType w:start="1"/>
          <w:cols w:num="2" w:space="720" w:equalWidth="0">
            <w:col w:w="4224" w:space="1042"/>
            <w:col w:w="4848"/>
          </w:cols>
          <w:noEndnote/>
          <w:titlePg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Введенский сельсовет Липецкого муниципального района Липецкой области а4тууе4@уап4ех.ги</w:t>
      </w:r>
    </w:p>
    <w:p>
      <w:pPr>
        <w:widowControl w:val="0"/>
        <w:spacing w:before="55" w:after="55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547" w:right="0" w:bottom="1254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 №048/06/106-884/2024</w:t>
      </w:r>
    </w:p>
    <w:p>
      <w:pPr>
        <w:pStyle w:val="Style16"/>
        <w:keepNext w:val="0"/>
        <w:keepLines w:val="0"/>
        <w:widowControl w:val="0"/>
        <w:shd w:val="clear" w:color="auto" w:fill="auto"/>
        <w:tabs>
          <w:tab w:pos="7368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03 октября 2024 года</w:t>
        <w:tab/>
        <w:t>город Липецк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Резолютивная часть решения объявлена 03.10.2024 года.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 в полном объеме изготовлено 07.10.2024 года.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Липецкого УФАС России по контролю в сфере закупок товаров, работ, услуг для обеспечения государственных и муниципальных нужд на территории Липецкой области в составе: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Председатель Комиссии: И.В. Поткина — руководитель управления,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Зам. председателя Комиссии: Т.Н. Ролдугина - начальник отдела контроля закупок и торгов,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 Комиссии: Т.С. Рябкова — заместитель начальника отдела контроля закупок и торгов,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 участии посредством видеоконференцсвязи представителя муниципального казенного учреждения «Центр компетенции в сфере бухгалтерского учета и муниципального заказа Липецкого муниципального района»: Гаврилова С.С. (директор),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рассмотрев жалобу ООО «Брокер Групп» на положения извещения о проведении открытого конкурса в электронной форме на выполнение работ по устройству универсальной спортивной площадки (реестровый номер 0846600001724000152) (далее - конкурс, закупка),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 С Т А Н О В И Л А: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Липецкое УФАС России, посредством ЕИС, поступила жалоба ООО «БРОКЕР ГРУПП» (далее- заявитель) на положения извещения о проведении конкурса (уполномоченное учреждение - Муниципальное казенное учреждение «Центр компетенции в сфере бухгалтерского учета и муниципального заказа Липецкого муниципального района», заказчик - администрация сельского поселения Введенский сельсовет Липецкого муниципального района Липецкой области).</w:t>
      </w:r>
    </w:p>
    <w:p>
      <w:pPr>
        <w:widowControl w:val="0"/>
        <w:spacing w:line="1" w:lineRule="exact"/>
      </w:pPr>
      <w:r>
        <w:drawing>
          <wp:anchor distT="88900" distB="0" distL="0" distR="0" simplePos="0" relativeHeight="125829378" behindDoc="0" locked="0" layoutInCell="1" allowOverlap="1">
            <wp:simplePos x="0" y="0"/>
            <wp:positionH relativeFrom="page">
              <wp:posOffset>717550</wp:posOffset>
            </wp:positionH>
            <wp:positionV relativeFrom="paragraph">
              <wp:posOffset>88900</wp:posOffset>
            </wp:positionV>
            <wp:extent cx="1517650" cy="286385"/>
            <wp:wrapTopAndBottom/>
            <wp:docPr id="7" name="Shap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box 8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1517650" cy="28638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Жалоба подготовлена в соответствии с требованиями статьи 105 Федерального закона от 05.04.2013 №44-ФЗ "О контрактной системе в сфере закупок товаров, работ, услуг для обеспечения государственных и муниципальных нужд" (далее также- Закон о контрактной системе) и подана в срок, установленный частью 4 статьи 105 Закона о контрактной системе. В связи с этим, жалоба была принята Липецким УФАС России к рассмотрению.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Сведения о времени и месте рассмотрения жалобы размещены Липецким УФАС России в ЕИС.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Рассмотрение жалобы осуществлялось в отсутствие представителей заявителя и заказчика, надлежащим образом уведомленных о месте и времени рассмотрения жалобы.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Как следует из довода жалобы заявителя, установленный в составе извещения порядок оценки заявок на участие в конкурсе не соответствует нормам </w:t>
      </w:r>
      <w:r>
        <w:fldChar w:fldCharType="begin"/>
      </w:r>
      <w:r>
        <w:rPr/>
        <w:instrText> HYPERLINK "https://demo.garant.ru/document/redirect/403337669/0" </w:instrText>
      </w:r>
      <w:r>
        <w:fldChar w:fldCharType="separate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Постановления</w:t>
      </w:r>
      <w:r>
        <w:fldChar w:fldCharType="end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Правительства РФ от 31.12.2021 \2604 "Об оценке заявок на участие в закупке товаров, работ, услуг для обеспечения государственных и муниципальных нужд, внесении изменений в </w:t>
      </w:r>
      <w:r>
        <w:fldChar w:fldCharType="begin"/>
      </w:r>
      <w:r>
        <w:rPr/>
        <w:instrText> HYPERLINK "https://demo.garant.ru/document/redirect/403293263/4" </w:instrText>
      </w:r>
      <w:r>
        <w:fldChar w:fldCharType="separate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п. 4 </w:t>
      </w:r>
      <w:r>
        <w:fldChar w:fldCharType="end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постановления Правительства Российской Федерации от 20 декабря 2021 \2369 и признании утратившими силу некоторых актов и отдельных положений некоторых актов Правительства Российской Федерации" (далее - Постановление \2604).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5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Присутствующий на рассмотрении жалобы представитель уполномоченного учреждения с доводом жалобы заявителя не согласен, считает жалобу необоснованной.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Рассмотрев жалобу и приложенные к ней материалы, а также другие документы (копии), представленные сторонами, выслушав мнение представителя уполномоченного учреждения, проведя внеплановую проверку на основании Приказа Липецкого УФАС России, Комиссия Липецкого УФАС России установила следующее.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Извещение о проведении открытого конкурса в электронной форме на выполнение работ по устройству универсальной спортивной площадки (реестровый номер 0846600001724000152) с приложениями размещено 11.09.2024 в ЕИС.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Дата и время окончания срока подачи заявок - 27.09.2024 08:00,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Дата окончания срока рассмотрения и оценки вторых частей заявок - 01.10.2024,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Дата подведения итогов определения поставщика (подрядчика, исполнителя) - 02.10.2024.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5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Начальная (максимальная) цена контракта составляет 4 392 031,42 руб.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Согласно </w:t>
      </w:r>
      <w:r>
        <w:fldChar w:fldCharType="begin"/>
      </w:r>
      <w:r>
        <w:rPr/>
        <w:instrText> HYPERLINK "https://demo.garant.ru/document/redirect/70353464/42111" </w:instrText>
      </w:r>
      <w:r>
        <w:fldChar w:fldCharType="separate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п.11 ч.1 ст.42 </w:t>
      </w:r>
      <w:r>
        <w:fldChar w:fldCharType="end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Закона о контрактной системе, при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об осуществлении закупки, содержащее критерии оценки заявок на участие в конкурсах, величины значимости этих критериев в соответствии с настоящим Федеральным законом.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соответствии с</w:t>
      </w:r>
      <w:r>
        <w:fldChar w:fldCharType="begin"/>
      </w:r>
      <w:r>
        <w:rPr/>
        <w:instrText> HYPERLINK "https://demo.garant.ru/document/redirect/70353464/42204" </w:instrText>
      </w:r>
      <w:r>
        <w:fldChar w:fldCharType="separate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п.4 ч.2 ст.42 </w:t>
      </w:r>
      <w:r>
        <w:fldChar w:fldCharType="end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Закона о контрактной системе, извещение об осуществлении закупки, если иное не предусмотрено настоящим Федеральным законом, должно содержать электронные документы, содержащие порядок рассмотрения и оценки заявок на участие в конкурсах в соответствии с настоящим Федеральным законом.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В силу </w:t>
      </w:r>
      <w:r>
        <w:fldChar w:fldCharType="begin"/>
      </w:r>
      <w:r>
        <w:rPr/>
        <w:instrText> HYPERLINK "https://demo.garant.ru/document/redirect/70353464/328" </w:instrText>
      </w:r>
      <w:r>
        <w:fldChar w:fldCharType="separate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ч.8 ст.32 </w:t>
      </w:r>
      <w:r>
        <w:fldChar w:fldCharType="end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Закона о контрактной системе, порядок оценки заявок участников закупки, в том числе предельные величины значимости каждого критерия, устанавливается Правительством Российской Федерации.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Положение об оценке заявок на участие в закупке товаров, работ, услуг для обеспечения государственных и муниципальных нужд (далее - Положение) установлено </w:t>
      </w:r>
      <w:r>
        <w:fldChar w:fldCharType="begin"/>
      </w:r>
      <w:r>
        <w:rPr/>
        <w:instrText> HYPERLINK "https://demo.garant.ru/document/redirect/403337669/0" </w:instrText>
      </w:r>
      <w:r>
        <w:fldChar w:fldCharType="separate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Постановлением </w:t>
      </w:r>
      <w:r>
        <w:fldChar w:fldCharType="end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№604.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п.2 Положения "оценка заявок" - действия членов комиссии по осуществлению закупок по присвоению в случаях, предусмотренных Законом, и в соответствии с Положением баллов заявкам (частям заявок) на основании информации и документов участников закупок.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В соответствии с пп.в п.28 Положения, в случае применения показателя оценки, предусмотренного подпунктом "в" пункта 24 настоящего Положения, документом, предусмотренным приложением № к настоящему Положению: устанавливается предмет договора (договоров), оцениваемого по каждому детализирующему показателю, </w:t>
      </w: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сопоставимый с предметом контракта,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заключаемого по результатам определения поставщика (подрядчика, исполнителя); устанавливается перечень документов, подтверждающих наличие у участника закупки опыта поставки товара, выполнения работы, оказания услуги, связанного с предметом контракта, в том числе исполненный договор (договоры), акт (акты) приемки поставленного товара, выполненных работ, оказанных услуг, составленные при исполнении такого договора (договоров); может быть установлено положение о принятии к оценке исключительно исполненного договора (договоров), при исполнении которого поставщиком (подрядчиком, исполнителем) исполнены требования об уплате неустоек (штрафов, пеней) (в случае начисления неустоек).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Таким образом, вышеуказанным пп.в п.28 Положения однозначно определено, что в порядке оценки, в том числе, </w:t>
      </w: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устанавливается предмет договора (договоров), оцениваемого по каждому детализирующему показателю, сопоставимый с предметом контракта, заключаемого по результатам определения поставщика (подрядчика, исполнителя)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 этом, под сопоставимым опытом работ, в рамках норм Положения, понимается опыт выполнения работ (оказания услуг), предусмотренных контрактом, заключаемым по результатам конкурентной процедуры, а также опыт выполнения работ (оказания услуг) непосредственно связанный с работами (услугами) выполняемыми в рамках такого контракта (сопоставимый опыт).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извещению, объектом закупки является выполнение работ по устройству универсальной спортивной площадки, т.е. выполнение работ по благоустройству территории.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При этом, как установлено, уполномоченным учреждением установлен порядок рассмотрения и оценки заявок на участие в закупке, согласно которому в соответствии с приложением №4 к извещению, для рассмотрения и оценки заявок на участие в закупке по показателю «Квалификация участников закупки», его детализирующим показателям принимаются, в числе прочего, исключительно </w:t>
      </w: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исполненные контракты (договора) на выполнение работ по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выполнение работ по строительству некапитального строения, сооружения (строений, сооружений), </w:t>
      </w: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благоустройству территории,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то есть </w:t>
      </w: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сопоставимые с предметом контракта, заключаемого по результатам рассматриваемого определения поставщика (подрядчика, исполнителя).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Таким образом, условия сопоставимости принимаемых к оценке контрактов (договоров), определенные уполномоченным учреждением в порядке оценки, соответствуют требованиям Положения, установленного</w:t>
      </w:r>
      <w:r>
        <w:fldChar w:fldCharType="begin"/>
      </w:r>
      <w:r>
        <w:rPr/>
        <w:instrText> HYPERLINK "https://demo.garant.ru/document/redirect/403337669/0" </w:instrText>
      </w:r>
      <w:r>
        <w:fldChar w:fldCharType="separate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Постановлением </w:t>
      </w:r>
      <w:r>
        <w:fldChar w:fldCharType="end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№604.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Заявитель на рассмотрение жалобы не явился, доказательств, свидетельствующих об обратном, не представил.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связи с вышеизложенным жалоба признается не обоснованной.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Руководствуясь ст.99, ст.105, ст.106 Закона о контрактной системе, Комиссия Липецкого УФАС России</w:t>
      </w:r>
      <w:r>
        <w:br w:type="page"/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 Е Ш И Л А: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300"/>
        <w:jc w:val="both"/>
      </w:pP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 xml:space="preserve">1.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Признать жалобу ООО «Брокер Групп» на положения извещения о проведении открытого конкурса в электронной форме на выполнение работ по устройству универсальной спортивной площадки (реестровый номер 0846600001724000152) необоснованной.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4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 может быть обжаловано в арбитражный суд в течение трех месяцев со дня его вынесения.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547" w:right="534" w:bottom="1254" w:left="1100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114300" distB="210185" distL="0" distR="0" simplePos="0" relativeHeight="125829379" behindDoc="0" locked="0" layoutInCell="1" allowOverlap="1">
                <wp:simplePos x="0" y="0"/>
                <wp:positionH relativeFrom="page">
                  <wp:posOffset>739140</wp:posOffset>
                </wp:positionH>
                <wp:positionV relativeFrom="paragraph">
                  <wp:posOffset>114300</wp:posOffset>
                </wp:positionV>
                <wp:extent cx="1771015" cy="234950"/>
                <wp:wrapTopAndBottom/>
                <wp:docPr id="9" name="Shape 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71015" cy="2349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Председатель Комиссии: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5" type="#_x0000_t202" style="position:absolute;margin-left:58.200000000000003pt;margin-top:9.pt;width:139.45000000000002pt;height:18.5pt;z-index:-125829374;mso-wrap-distance-left:0;mso-wrap-distance-top:9.pt;mso-wrap-distance-right:0;mso-wrap-distance-bottom:16.550000000000001pt;mso-position-horizontal-relative:page" filled="f" stroked="f">
                <v:textbox inset="0,0,0,0">
                  <w:txbxContent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Председатель Комиссии: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212090" distB="0" distL="0" distR="1816735" simplePos="0" relativeHeight="125829381" behindDoc="0" locked="0" layoutInCell="1" allowOverlap="1">
            <wp:simplePos x="0" y="0"/>
            <wp:positionH relativeFrom="page">
              <wp:posOffset>2869565</wp:posOffset>
            </wp:positionH>
            <wp:positionV relativeFrom="paragraph">
              <wp:posOffset>212090</wp:posOffset>
            </wp:positionV>
            <wp:extent cx="292735" cy="347345"/>
            <wp:wrapTopAndBottom/>
            <wp:docPr id="11" name="Shape 1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box 12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292735" cy="34734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3253740</wp:posOffset>
                </wp:positionH>
                <wp:positionV relativeFrom="paragraph">
                  <wp:posOffset>276225</wp:posOffset>
                </wp:positionV>
                <wp:extent cx="1725295" cy="255905"/>
                <wp:wrapNone/>
                <wp:docPr id="13" name="Shape 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256.19999999999999pt;margin-top:21.75pt;width:135.84999999999999pt;height:20.150000000000002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114300" distB="210185" distL="0" distR="0" simplePos="0" relativeHeight="125829382" behindDoc="0" locked="0" layoutInCell="1" allowOverlap="1">
                <wp:simplePos x="0" y="0"/>
                <wp:positionH relativeFrom="page">
                  <wp:posOffset>6203950</wp:posOffset>
                </wp:positionH>
                <wp:positionV relativeFrom="paragraph">
                  <wp:posOffset>114300</wp:posOffset>
                </wp:positionV>
                <wp:extent cx="987425" cy="234950"/>
                <wp:wrapTopAndBottom/>
                <wp:docPr id="15" name="Shape 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987425" cy="2349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И.В. Поткина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1" type="#_x0000_t202" style="position:absolute;margin-left:488.5pt;margin-top:9.pt;width:77.75pt;height:18.5pt;z-index:-125829371;mso-wrap-distance-left:0;mso-wrap-distance-top:9.pt;mso-wrap-distance-right:0;mso-wrap-distance-bottom:16.550000000000001pt;mso-position-horizontal-relative:page" filled="f" stroked="f">
                <v:textbox inset="0,0,0,0">
                  <w:txbxContent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И.В. Поткина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4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1" w:color="000000"/>
          <w:right w:val="single" w:sz="0" w:space="0" w:color="000000"/>
        </w:pBdr>
        <w:shd w:val="clear" w:color="auto" w:fill="000000"/>
        <w:bidi w:val="0"/>
        <w:spacing w:before="0" w:after="71" w:line="240" w:lineRule="auto"/>
        <w:ind w:left="0" w:right="0" w:firstLine="0"/>
        <w:jc w:val="center"/>
      </w:pPr>
      <w:r>
        <w:rPr>
          <w:color w:val="FFFFFF"/>
          <w:spacing w:val="0"/>
          <w:w w:val="100"/>
          <w:position w:val="0"/>
          <w:shd w:val="clear" w:color="auto" w:fill="auto"/>
          <w:lang w:val="ru-RU" w:eastAsia="ru-RU" w:bidi="ru-RU"/>
        </w:rPr>
        <w:t>СВЕДЕНИЯ О СЕРТИФИКАТЕ ЭП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</w:t>
      </w:r>
      <w:r>
        <w:rPr>
          <w:color w:val="454545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Поткина Ирина Владимировна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262626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color w:val="262626"/>
          <w:spacing w:val="0"/>
          <w:w w:val="100"/>
          <w:position w:val="0"/>
          <w:shd w:val="clear" w:color="auto" w:fill="auto"/>
          <w:lang w:val="ru-RU" w:eastAsia="ru-RU" w:bidi="ru-RU"/>
        </w:rPr>
        <w:t>75ВОВ61С51608АВЕ1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АА67874Р2Е2Э9Р9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16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262626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color w:val="454545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03.10.2023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по 26.12.2024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90" w:line="240" w:lineRule="auto"/>
        <w:ind w:left="0" w:right="0" w:firstLine="0"/>
        <w:jc w:val="left"/>
      </w:pPr>
      <w:r>
        <w:drawing>
          <wp:anchor distT="82550" distB="0" distL="114300" distR="4143375" simplePos="0" relativeHeight="125829384" behindDoc="0" locked="0" layoutInCell="1" allowOverlap="1">
            <wp:simplePos x="0" y="0"/>
            <wp:positionH relativeFrom="page">
              <wp:posOffset>2869565</wp:posOffset>
            </wp:positionH>
            <wp:positionV relativeFrom="paragraph">
              <wp:posOffset>95250</wp:posOffset>
            </wp:positionV>
            <wp:extent cx="292735" cy="347345"/>
            <wp:wrapSquare wrapText="left"/>
            <wp:docPr id="17" name="Shape 1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box 18"/>
                    <pic:cNvPicPr/>
                  </pic:nvPicPr>
                  <pic:blipFill>
                    <a:blip r:embed="rId15"/>
                    <a:stretch/>
                  </pic:blipFill>
                  <pic:spPr>
                    <a:xfrm>
                      <a:ext cx="292735" cy="34734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3253740</wp:posOffset>
                </wp:positionH>
                <wp:positionV relativeFrom="paragraph">
                  <wp:posOffset>162560</wp:posOffset>
                </wp:positionV>
                <wp:extent cx="1725295" cy="255905"/>
                <wp:wrapNone/>
                <wp:docPr id="19" name="Shape 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5" type="#_x0000_t202" style="position:absolute;margin-left:256.19999999999999pt;margin-top:12.800000000000001pt;width:135.84999999999999pt;height:20.15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194945" distL="3345180" distR="114300" simplePos="0" relativeHeight="125829385" behindDoc="0" locked="0" layoutInCell="1" allowOverlap="1">
                <wp:simplePos x="0" y="0"/>
                <wp:positionH relativeFrom="page">
                  <wp:posOffset>6100445</wp:posOffset>
                </wp:positionH>
                <wp:positionV relativeFrom="paragraph">
                  <wp:posOffset>12700</wp:posOffset>
                </wp:positionV>
                <wp:extent cx="1090930" cy="234950"/>
                <wp:wrapSquare wrapText="left"/>
                <wp:docPr id="21" name="Shape 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90930" cy="2349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Т.Н. Ролдугина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7" type="#_x0000_t202" style="position:absolute;margin-left:480.35000000000002pt;margin-top:1.pt;width:85.900000000000006pt;height:18.5pt;z-index:-125829368;mso-wrap-distance-left:263.39999999999998pt;mso-wrap-distance-right:9.pt;mso-wrap-distance-bottom:15.35pt;mso-position-horizontal-relative:page" filled="f" stroked="f">
                <v:textbox inset="0,0,0,0">
                  <w:txbxContent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Т.Н. Ролдугина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Зам. председателя Комиссии:</w:t>
      </w:r>
    </w:p>
    <w:p>
      <w:pPr>
        <w:pStyle w:val="Style24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left="0" w:right="0" w:firstLine="0"/>
        <w:jc w:val="center"/>
      </w:pPr>
      <w:r>
        <w:rPr>
          <w:color w:val="E9E9E9"/>
          <w:spacing w:val="0"/>
          <w:w w:val="100"/>
          <w:position w:val="0"/>
          <w:shd w:val="clear" w:color="auto" w:fill="auto"/>
          <w:lang w:val="ru-RU" w:eastAsia="ru-RU" w:bidi="ru-RU"/>
        </w:rPr>
        <w:t>СВЕДЕНИЯ О СЕРТИФИКАТЕ ЭП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color w:val="7D7D7D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</w:t>
      </w:r>
      <w:r>
        <w:rPr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Ролдугина Татьяна Николаевна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262626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610Е27024ВЕВ34А450198В5А4464784Е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с </w:t>
      </w:r>
      <w:r>
        <w:rPr>
          <w:color w:val="262626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18.03.2024 </w:t>
      </w:r>
      <w:r>
        <w:rPr>
          <w:color w:val="7D7D7D"/>
          <w:spacing w:val="0"/>
          <w:w w:val="100"/>
          <w:position w:val="0"/>
          <w:shd w:val="clear" w:color="auto" w:fill="auto"/>
          <w:lang w:val="ru-RU" w:eastAsia="ru-RU" w:bidi="ru-RU"/>
        </w:rPr>
        <w:t>по 11.06.2025</w:t>
      </w:r>
    </w:p>
    <w:p>
      <w:pPr>
        <w:widowControl w:val="0"/>
        <w:spacing w:line="1" w:lineRule="exact"/>
      </w:pPr>
      <w:r>
        <mc:AlternateContent>
          <mc:Choice Requires="wps">
            <w:drawing>
              <wp:anchor distT="38100" distB="158115" distL="0" distR="0" simplePos="0" relativeHeight="125829387" behindDoc="0" locked="0" layoutInCell="1" allowOverlap="1">
                <wp:simplePos x="0" y="0"/>
                <wp:positionH relativeFrom="page">
                  <wp:posOffset>735965</wp:posOffset>
                </wp:positionH>
                <wp:positionV relativeFrom="paragraph">
                  <wp:posOffset>38100</wp:posOffset>
                </wp:positionV>
                <wp:extent cx="1164590" cy="234950"/>
                <wp:wrapTopAndBottom/>
                <wp:docPr id="23" name="Shape 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64590" cy="2349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Член Комиссии: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9" type="#_x0000_t202" style="position:absolute;margin-left:57.950000000000003pt;margin-top:3.pt;width:91.700000000000003pt;height:18.5pt;z-index:-125829366;mso-wrap-distance-left:0;mso-wrap-distance-top:3.pt;mso-wrap-distance-right:0;mso-wrap-distance-bottom:12.450000000000001pt;mso-position-horizontal-relative:page" filled="f" stroked="f">
                <v:textbox inset="0,0,0,0">
                  <w:txbxContent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Член Комиссии: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75260" distB="0" distL="0" distR="0" simplePos="0" relativeHeight="125829389" behindDoc="0" locked="0" layoutInCell="1" allowOverlap="1">
                <wp:simplePos x="0" y="0"/>
                <wp:positionH relativeFrom="page">
                  <wp:posOffset>3253740</wp:posOffset>
                </wp:positionH>
                <wp:positionV relativeFrom="paragraph">
                  <wp:posOffset>175260</wp:posOffset>
                </wp:positionV>
                <wp:extent cx="1725295" cy="255905"/>
                <wp:wrapTopAndBottom/>
                <wp:docPr id="25" name="Shape 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1" type="#_x0000_t202" style="position:absolute;margin-left:256.19999999999999pt;margin-top:13.800000000000001pt;width:135.84999999999999pt;height:20.150000000000002pt;z-index:-125829364;mso-wrap-distance-left:0;mso-wrap-distance-top:13.800000000000001pt;mso-wrap-distance-right:0;mso-position-horizontal-relative:page" filled="f" stroked="f">
                <v:textbox inset="0,0,0,0">
                  <w:txbxContent>
                    <w:p>
                      <w:pPr>
                        <w:pStyle w:val="Style2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8100" distB="158115" distL="0" distR="0" simplePos="0" relativeHeight="125829391" behindDoc="0" locked="0" layoutInCell="1" allowOverlap="1">
                <wp:simplePos x="0" y="0"/>
                <wp:positionH relativeFrom="page">
                  <wp:posOffset>6295390</wp:posOffset>
                </wp:positionH>
                <wp:positionV relativeFrom="paragraph">
                  <wp:posOffset>38100</wp:posOffset>
                </wp:positionV>
                <wp:extent cx="895985" cy="234950"/>
                <wp:wrapTopAndBottom/>
                <wp:docPr id="27" name="Shape 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895985" cy="2349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Т.С. Рябкова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3" type="#_x0000_t202" style="position:absolute;margin-left:495.69999999999999pt;margin-top:3.pt;width:70.549999999999997pt;height:18.5pt;z-index:-125829362;mso-wrap-distance-left:0;mso-wrap-distance-top:3.pt;mso-wrap-distance-right:0;mso-wrap-distance-bottom:12.450000000000001pt;mso-position-horizontal-relative:page" filled="f" stroked="f">
                <v:textbox inset="0,0,0,0">
                  <w:txbxContent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Т.С. Рябкова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4"/>
        <w:keepNext w:val="0"/>
        <w:keepLines w:val="0"/>
        <w:widowControl w:val="0"/>
        <w:pBdr>
          <w:top w:val="single" w:sz="0" w:space="0" w:color="000000"/>
          <w:left w:val="single" w:sz="0" w:space="0" w:color="000000"/>
          <w:bottom w:val="single" w:sz="0" w:space="1" w:color="000000"/>
          <w:right w:val="single" w:sz="0" w:space="0" w:color="000000"/>
        </w:pBdr>
        <w:shd w:val="clear" w:color="auto" w:fill="000000"/>
        <w:bidi w:val="0"/>
        <w:spacing w:before="0" w:after="71" w:line="240" w:lineRule="auto"/>
        <w:ind w:left="0" w:right="0" w:firstLine="0"/>
        <w:jc w:val="center"/>
      </w:pPr>
      <w:r>
        <w:rPr>
          <w:color w:val="FFFFFF"/>
          <w:spacing w:val="0"/>
          <w:w w:val="100"/>
          <w:position w:val="0"/>
          <w:shd w:val="clear" w:color="auto" w:fill="auto"/>
          <w:lang w:val="ru-RU" w:eastAsia="ru-RU" w:bidi="ru-RU"/>
        </w:rPr>
        <w:t>СВЕДЕНИЯ О СЕРТИФИКАТЕ ЭП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</w:t>
      </w:r>
      <w:r>
        <w:rPr>
          <w:color w:val="454545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Рябкова Татьяна Сергеевна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262626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4ЕАС8ВЗА6В794913ВЕ30С1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</w:t>
      </w:r>
      <w:r>
        <w:rPr>
          <w:color w:val="454545"/>
          <w:spacing w:val="0"/>
          <w:w w:val="100"/>
          <w:position w:val="0"/>
          <w:shd w:val="clear" w:color="auto" w:fill="auto"/>
          <w:lang w:val="ru-RU" w:eastAsia="ru-RU" w:bidi="ru-RU"/>
        </w:rPr>
        <w:t>087С737Е2</w:t>
      </w:r>
    </w:p>
    <w:p>
      <w:pPr>
        <w:pStyle w:val="Style26"/>
        <w:keepNext w:val="0"/>
        <w:keepLines w:val="0"/>
        <w:widowControl w:val="0"/>
        <w:pBdr>
          <w:bottom w:val="single" w:sz="4" w:space="0" w:color="auto"/>
        </w:pBdr>
        <w:shd w:val="clear" w:color="auto" w:fill="auto"/>
        <w:bidi w:val="0"/>
        <w:spacing w:before="0" w:after="6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color w:val="454545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19.03.2024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color w:val="7D7D7D"/>
          <w:spacing w:val="0"/>
          <w:w w:val="100"/>
          <w:position w:val="0"/>
          <w:shd w:val="clear" w:color="auto" w:fill="auto"/>
          <w:lang w:val="ru-RU" w:eastAsia="ru-RU" w:bidi="ru-RU"/>
        </w:rPr>
        <w:t>12.06.2025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10" w:right="541" w:bottom="8134" w:left="1101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10016490</wp:posOffset>
              </wp:positionV>
              <wp:extent cx="648970" cy="100330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89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2024-8467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margin-left:57.pt;margin-top:788.70000000000005pt;width:51.100000000000001pt;height:7.90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2024-8467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9857740</wp:posOffset>
              </wp:positionV>
              <wp:extent cx="648970" cy="100330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89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2024-8467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1" type="#_x0000_t202" style="position:absolute;margin-left:57.pt;margin-top:776.20000000000005pt;width:51.100000000000001pt;height:7.90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2024-8467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Колонтитул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6">
    <w:name w:val="Основной текст (3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76199"/>
      <w:sz w:val="16"/>
      <w:szCs w:val="16"/>
      <w:u w:val="none"/>
    </w:rPr>
  </w:style>
  <w:style w:type="character" w:customStyle="1" w:styleId="CharStyle9">
    <w:name w:val="Основной текст (6)_"/>
    <w:basedOn w:val="DefaultParagraphFont"/>
    <w:link w:val="Style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76199"/>
      <w:sz w:val="19"/>
      <w:szCs w:val="19"/>
      <w:u w:val="none"/>
    </w:rPr>
  </w:style>
  <w:style w:type="character" w:customStyle="1" w:styleId="CharStyle11">
    <w:name w:val="Заголовок №1_"/>
    <w:basedOn w:val="DefaultParagraphFont"/>
    <w:link w:val="Style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single"/>
    </w:rPr>
  </w:style>
  <w:style w:type="character" w:customStyle="1" w:styleId="CharStyle14">
    <w:name w:val="Подпись к картинке_"/>
    <w:basedOn w:val="DefaultParagraphFont"/>
    <w:link w:val="Style1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62626"/>
      <w:sz w:val="12"/>
      <w:szCs w:val="12"/>
      <w:u w:val="none"/>
    </w:rPr>
  </w:style>
  <w:style w:type="character" w:customStyle="1" w:styleId="CharStyle17">
    <w:name w:val="Основной текст_"/>
    <w:basedOn w:val="DefaultParagraphFont"/>
    <w:link w:val="Style1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CharStyle22">
    <w:name w:val="Основной текст (4)_"/>
    <w:basedOn w:val="DefaultParagraphFont"/>
    <w:link w:val="Style2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62626"/>
      <w:sz w:val="12"/>
      <w:szCs w:val="12"/>
      <w:u w:val="none"/>
    </w:rPr>
  </w:style>
  <w:style w:type="character" w:customStyle="1" w:styleId="CharStyle25">
    <w:name w:val="Основной текст (5)_"/>
    <w:basedOn w:val="DefaultParagraphFont"/>
    <w:link w:val="Style24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BEBEB"/>
      <w:sz w:val="12"/>
      <w:szCs w:val="12"/>
      <w:u w:val="none"/>
    </w:rPr>
  </w:style>
  <w:style w:type="character" w:customStyle="1" w:styleId="CharStyle27">
    <w:name w:val="Основной текст (2)_"/>
    <w:basedOn w:val="DefaultParagraphFont"/>
    <w:link w:val="Style26"/>
    <w:rPr>
      <w:rFonts w:ascii="Arial" w:eastAsia="Arial" w:hAnsi="Arial" w:cs="Arial"/>
      <w:b w:val="0"/>
      <w:bCs w:val="0"/>
      <w:i w:val="0"/>
      <w:iCs w:val="0"/>
      <w:smallCaps w:val="0"/>
      <w:strike w:val="0"/>
      <w:color w:val="646464"/>
      <w:sz w:val="12"/>
      <w:szCs w:val="12"/>
      <w:u w:val="none"/>
    </w:rPr>
  </w:style>
  <w:style w:type="paragraph" w:customStyle="1" w:styleId="Style2">
    <w:name w:val="Колонтитул (2)"/>
    <w:basedOn w:val="Normal"/>
    <w:link w:val="CharStyle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5">
    <w:name w:val="Основной текст (3)"/>
    <w:basedOn w:val="Normal"/>
    <w:link w:val="CharStyle6"/>
    <w:pPr>
      <w:widowControl w:val="0"/>
      <w:shd w:val="clear" w:color="auto" w:fill="auto"/>
      <w:spacing w:after="70" w:line="278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76199"/>
      <w:sz w:val="16"/>
      <w:szCs w:val="16"/>
      <w:u w:val="none"/>
    </w:rPr>
  </w:style>
  <w:style w:type="paragraph" w:customStyle="1" w:styleId="Style8">
    <w:name w:val="Основной текст (6)"/>
    <w:basedOn w:val="Normal"/>
    <w:link w:val="CharStyle9"/>
    <w:pPr>
      <w:widowControl w:val="0"/>
      <w:shd w:val="clear" w:color="auto" w:fill="auto"/>
      <w:spacing w:after="400" w:line="254" w:lineRule="auto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76199"/>
      <w:sz w:val="19"/>
      <w:szCs w:val="19"/>
      <w:u w:val="none"/>
    </w:rPr>
  </w:style>
  <w:style w:type="paragraph" w:customStyle="1" w:styleId="Style10">
    <w:name w:val="Заголовок №1"/>
    <w:basedOn w:val="Normal"/>
    <w:link w:val="CharStyle11"/>
    <w:pPr>
      <w:widowControl w:val="0"/>
      <w:shd w:val="clear" w:color="auto" w:fill="auto"/>
      <w:spacing w:after="320"/>
      <w:jc w:val="center"/>
      <w:outlineLvl w:val="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single"/>
    </w:rPr>
  </w:style>
  <w:style w:type="paragraph" w:customStyle="1" w:styleId="Style13">
    <w:name w:val="Подпись к картинке"/>
    <w:basedOn w:val="Normal"/>
    <w:link w:val="CharStyle14"/>
    <w:pPr>
      <w:widowControl w:val="0"/>
      <w:shd w:val="clear" w:color="auto" w:fill="auto"/>
      <w:spacing w:line="218" w:lineRule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62626"/>
      <w:sz w:val="12"/>
      <w:szCs w:val="12"/>
      <w:u w:val="none"/>
    </w:rPr>
  </w:style>
  <w:style w:type="paragraph" w:customStyle="1" w:styleId="Style16">
    <w:name w:val="Основной текст"/>
    <w:basedOn w:val="Normal"/>
    <w:link w:val="CharStyle17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paragraph" w:customStyle="1" w:styleId="Style21">
    <w:name w:val="Основной текст (4)"/>
    <w:basedOn w:val="Normal"/>
    <w:link w:val="CharStyle22"/>
    <w:pPr>
      <w:widowControl w:val="0"/>
      <w:shd w:val="clear" w:color="auto" w:fill="auto"/>
      <w:spacing w:line="214" w:lineRule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62626"/>
      <w:sz w:val="12"/>
      <w:szCs w:val="12"/>
      <w:u w:val="none"/>
    </w:rPr>
  </w:style>
  <w:style w:type="paragraph" w:customStyle="1" w:styleId="Style24">
    <w:name w:val="Основной текст (5)"/>
    <w:basedOn w:val="Normal"/>
    <w:link w:val="CharStyle25"/>
    <w:pPr>
      <w:widowControl w:val="0"/>
      <w:shd w:val="clear" w:color="auto" w:fill="auto"/>
      <w:spacing w:after="100"/>
      <w:jc w:val="center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BEBEB"/>
      <w:sz w:val="12"/>
      <w:szCs w:val="12"/>
      <w:u w:val="none"/>
    </w:rPr>
  </w:style>
  <w:style w:type="paragraph" w:customStyle="1" w:styleId="Style26">
    <w:name w:val="Основной текст (2)"/>
    <w:basedOn w:val="Normal"/>
    <w:link w:val="CharStyle27"/>
    <w:pPr>
      <w:widowControl w:val="0"/>
      <w:shd w:val="clear" w:color="auto" w:fill="auto"/>
      <w:ind w:left="340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646464"/>
      <w:sz w:val="12"/>
      <w:szCs w:val="1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jpeg"/><Relationship Id="rId8" Type="http://schemas.openxmlformats.org/officeDocument/2006/relationships/image" Target="media/image2.jpeg" TargetMode="External"/><Relationship Id="rId9" Type="http://schemas.openxmlformats.org/officeDocument/2006/relationships/footer" Target="footer1.xml"/><Relationship Id="rId10" Type="http://schemas.openxmlformats.org/officeDocument/2006/relationships/footer" Target="footer2.xml"/><Relationship Id="rId11" Type="http://schemas.openxmlformats.org/officeDocument/2006/relationships/image" Target="media/image3.jpeg"/><Relationship Id="rId12" Type="http://schemas.openxmlformats.org/officeDocument/2006/relationships/image" Target="media/image3.jpeg" TargetMode="External"/><Relationship Id="rId13" Type="http://schemas.openxmlformats.org/officeDocument/2006/relationships/image" Target="media/image4.jpeg"/><Relationship Id="rId14" Type="http://schemas.openxmlformats.org/officeDocument/2006/relationships/image" Target="media/image4.jpeg" TargetMode="External"/><Relationship Id="rId15" Type="http://schemas.openxmlformats.org/officeDocument/2006/relationships/image" Target="media/image5.jpeg"/><Relationship Id="rId16" Type="http://schemas.openxmlformats.org/officeDocument/2006/relationships/image" Target="media/image5.jpeg" TargetMode="External"/></Relationships>
</file>