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 41184/24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ТИО им. ак.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В.И. Шумакова» Минздрава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1582244@тай.ги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Павлов Ф.Б.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аVа^469@уап4еx.^и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180" w:bottom="712" w:left="1140" w:header="0" w:footer="3" w:gutter="0"/>
          <w:pgNumType w:start="1"/>
          <w:cols w:num="2" w:space="95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3" w:right="0" w:bottom="5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077/06/106-13266/2024 о нарушении</w:t>
        <w:br/>
        <w:t>законодательства о контрактной системе</w:t>
        <w:br/>
        <w:t>02.10.2024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 Председательствующего - главного государственного инспектора отдела обжалования государственных закупок Н.А. Узкого, Членов комиссии: Главного государственного инспектора отдела обжалования государственных закупок А.А. Кутейникова, Ведущего специалиста-эксперта отдела обжалования государственных закупок Е.Д. Мартьяновой, рассмотрение жалоб проводилось дистанционно (посредством видеоконференцсвязи), при участии представителей: ФГБУ «НМИЦ ТИО им. ак. В.И. Шумакова» Минздрава России: И.В. Максимова (по дов. № 55 от 31.05.2024), ИП Павлов Ф.Б.: Ф.Б. Павлова,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жалобы ИП Павлов Ф.Б. (далее — Заявитель) на действия ФГБУ «НМИЦ ТИО им. ак. В.И. Шумакова» Минздрава России (далее — Заказчик) при проведении электронных аукционов на право заключения государственных контрактов на поставку расходных материалов для нужд ФГБУ «НМИЦ ТИО им. ак. В.И. Шумакова» Минздрава России (Закупки №№ 0373100091424000924, 0373100091424000923) (далее - аукционы),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508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511935" cy="28638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поступили жалобы Заявителя на действия Заказчика при проведении вышеуказанных аукционов.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извещений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 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86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2024-46600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совокупность установленных параметров по п. 1-9 «Катетер для гемодиализа, имплантируемый» соответствует товарам единственного производителя, а именно: производителя «Ковидиен ЛЛС», США, при этом ограничивающими требованиями являются, например: «Материал катетера: карботан», «Кончик с боковыми прорезями: симметричный», «Шприц 12 ±1 мл: &gt; 1», «Дилататор 4.7 ±0,2 мм: &gt; 1» и др.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Заказчик вправе самостоятельно принимать решение при формировании предмета закупки и его характеристик, имеющих принципиальное значение для закупки. В каждом конкретном случае Заказчик формирует требования технического задания исходя из особенностей его использования и имеющихся у него потребностей. Ни Законом о контрактной системе, ни Федеральным законом от 26.07.2006 № 135-ФЗ «О защите конкуренции» не предусмотрено каких-либо ограничений по включению в аукцион требований к товару, являющихся значимыми для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представитель Заказчика также добавил, что функциональные, технические, качественные, эксплуатационные характеристики товара в техническом задании отображаются с обоснованием включения показателя в описание объекта, определяя значимые для Заказчика потребительские свойства, а именно: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305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3" w:right="534" w:bottom="519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Материал катетера - карботан, представляющий из себя рентгенконтрастный материал, обладающий высокой тромборезистентностью и термочувствительностью, материал, благодаря которому значительно снижается риск тромбообразования 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2024-46600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уменьшения диаметра просвета катетера при перегибе или пережатии;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Симметричный кончик с боковыми прорезями, именно такая форма кончика способствует оптимальному размещению в правом предсердии и снижает рециркуляцию крови во время процедуры гемодиализа до 1%;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Дилататор 4.7 ±0,2, Интродьюсер в разрывной клапанной оболочке 16: в соответствии с техническими особенностями применения дилататоров, в т.ч. от размера интродьюсера, данный дилататор необходим для данной длины и диаметра проводника, определяется совместимостью с другими инструментами, а так же используется в соответствии с особенностями методик и обеспечивает качественное оказание медицинской помощи и др.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установленные в извещении о закупке характеристики товара не создают преимущественные условия участия в торгах одному или нескольким субъектам, так как участником закупки может выступить любое отвечающие требованиям аукционной документации физическое или юридическое лицо, в том числе не являющееся производителем требуемого к поставке товара, удовлетворяющего потребностям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Заказчиком в составе возражений, а также на заседании Комиссии Управления не представлено каких-либо иных письменных документов и сведений, подтверждающих факт присутствия на рынке продукции иных производителей, помимо продукции производителя «Ковидиен ЛЛС», США.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представителем Заказчика не представлено.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ст.33 Закона о контрактной систем содержит в себе закрытый перечень случаев, когда Заказчик в праве закупать товары конкретного производителя,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отмечает, что если у Заказчика имеются определенные обоснованные потребности в получении тех или иных товаров, он вправе устанавливать соответствующие требования к товарам в извещении об осуществлении закупки, но таким образом, чтобы такие требования не ограничивали количество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при наличии у Заказчика обоснованной потребности в поставке именно таких товаров, характеристики которых указаны в извещении, Заказчику необходимо определить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Заказчику требуется обладать документальным обоснованием потребности, но не руководствоваться предположениями.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основе вышеизложенного, с учетом имеющихся документов и сведений, Комиссия Управления приходит к выводу об обоснованности указанных доводов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 и о нарушении Заказчиком положений п.1 ч.1 ст.33 Закона о контрактной системе при формировании требований извещений об осуществлении закупки, что содержит признаки состава административного правонарушения, ответственность за которое предусмотрена ч.4.1 ст.7.30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жалобы ИП Павлов Ф.Б. на действия ФГБУ «НМИЦ ТИО им. ак. В.И. Шумакова» Минздрава Росси обоснованными.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Заказчика нарушения п.1 ч.1 ст.33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29" w:bottom="1268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79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850000000000001pt;margin-top:10.pt;width:145.70000000000002pt;height:19.900000000000002pt;z-index:-125829374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1" behindDoc="0" locked="0" layoutInCell="1" allowOverlap="1">
            <wp:simplePos x="0" y="0"/>
            <wp:positionH relativeFrom="page">
              <wp:posOffset>3072765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1.05000000000001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292100</wp:posOffset>
                </wp:positionV>
                <wp:extent cx="1725295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44999999999999pt;margin-top:2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2" behindDoc="0" locked="0" layoutInCell="1" allowOverlap="1">
                <wp:simplePos x="0" y="0"/>
                <wp:positionH relativeFrom="page">
                  <wp:posOffset>6336665</wp:posOffset>
                </wp:positionH>
                <wp:positionV relativeFrom="paragraph">
                  <wp:posOffset>127000</wp:posOffset>
                </wp:positionV>
                <wp:extent cx="880745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98.94999999999999pt;margin-top:10.pt;width:69.350000000000009pt;height:19.900000000000002pt;z-index:-125829371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0084Е434Е5152Е57С03201780ВА4А68226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88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44999999999999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0092302А1Е2Е82694604ЕЕЕ7722П2557ЕЕ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3093720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462280</wp:posOffset>
                </wp:positionV>
                <wp:extent cx="1280160" cy="1035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1.05000000000001pt;margin-top:36.399999999999999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44999999999999pt;margin-top:11.9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2024-46600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2024-46600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2024-46600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100000000000001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2024-46600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272415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5000000000002pt;margin-top:21.44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35000000000002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1">
    <w:name w:val="Основной текст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5">
    <w:name w:val="Основной текст (5)_"/>
    <w:basedOn w:val="DefaultParagraphFont"/>
    <w:link w:val="Style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