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«МЕДПОСТАВЩИК»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24" w:right="2072" w:bottom="622" w:left="1600" w:header="0" w:footer="3" w:gutter="0"/>
          <w:pgNumType w:start="1"/>
          <w:cols w:num="2" w:space="138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тейро8120@тай.ги</w:t>
      </w:r>
    </w:p>
    <w:p>
      <w:pPr>
        <w:widowControl w:val="0"/>
        <w:spacing w:line="24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89560" distL="114300" distR="114300" simplePos="0" relativeHeight="125829378" behindDoc="0" locked="0" layoutInCell="1" allowOverlap="1">
                <wp:simplePos x="0" y="0"/>
                <wp:positionH relativeFrom="page">
                  <wp:posOffset>1595120</wp:posOffset>
                </wp:positionH>
                <wp:positionV relativeFrom="paragraph">
                  <wp:posOffset>12700</wp:posOffset>
                </wp:positionV>
                <wp:extent cx="895985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5.60000000000001pt;margin-top:1.pt;width:70.549999999999997pt;height:12.pt;z-index:-125829375;mso-wrap-distance-left:9.pt;mso-wrap-distance-right:9.pt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89560" distB="0" distL="202565" distR="199390" simplePos="0" relativeHeight="125829380" behindDoc="0" locked="0" layoutInCell="1" allowOverlap="1">
                <wp:simplePos x="0" y="0"/>
                <wp:positionH relativeFrom="page">
                  <wp:posOffset>1683385</wp:posOffset>
                </wp:positionH>
                <wp:positionV relativeFrom="paragraph">
                  <wp:posOffset>302260</wp:posOffset>
                </wp:positionV>
                <wp:extent cx="722630" cy="15240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32.55000000000001pt;margin-top:23.800000000000001pt;width:56.899999999999999pt;height:12.pt;z-index:-125829373;mso-wrap-distance-left:15.950000000000001pt;mso-wrap-distance-top:22.800000000000001pt;mso-wrap-distance-right:15.7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114300" simplePos="0" relativeHeight="125829382" behindDoc="0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551815</wp:posOffset>
                </wp:positionV>
                <wp:extent cx="1557655" cy="2927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9.200000000000003pt;margin-top:43.450000000000003pt;width:122.65000000000001pt;height:23.050000000000001pt;z-index:-125829371;mso-wrap-distance-left:9.pt;mso-wrap-distance-top:2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КБ № 85 ФМБА России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06" w:lineRule="auto"/>
        <w:ind w:left="2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/акир1&lt;1@1&lt;Ь85.П1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998" w:val="left"/>
        </w:tabs>
        <w:bidi w:val="0"/>
        <w:spacing w:before="0" w:line="240" w:lineRule="auto"/>
        <w:ind w:left="0" w:right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41207/24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077/06/106-13523/2024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6386830</wp:posOffset>
                </wp:positionH>
                <wp:positionV relativeFrom="paragraph">
                  <wp:posOffset>38100</wp:posOffset>
                </wp:positionV>
                <wp:extent cx="798830" cy="19812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2.90000000000003pt;margin-top:3.pt;width:62.899999999999999pt;height:15.6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КБ № 85 ФМБА России: Кожиной Я.Г. (по доверенности № б/н от 29.12.2023), Шеина С.В. (по доверенности № 57 от 30.05.2024);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«МЕДПОСТАВЩИК», о времени и порядке заседания Комиссии Управления уведомлены надлежащим образом посредством функционала Единой информационной системы,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«МЕДПОСТАВЩИК» (далее — Заявитель) на действия ФГБУЗ КБ № 85 ФМБА России (далее — Заказчик) при проведении электронного аукциона на право заключения государственного контракта на поставку изделий медицинского назначения (перчатки) (Закупка №0373100087124000307) (далее - аукцион), в соответствии с Федеральным законом от 05.04.2013 №44-ФЗ «О контрактной системе в сфере закупок товаров, работ,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2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9"/>
        </w:rPr>
        <w:t>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535" w:bottom="773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2024-46836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 Заказчиком установлены требования к закупаемому медицинскому изделию: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пп. 1, 5 15 «Перчатки смотровые/процедурные из латекса гевеи, неопудренные, нестерильные»;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пп. 2, 3, 12, 13, 14, 16 «Перчатки смотровые/процедурные нитриловые, неопудренные, нестерильные»;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4 «Перчатки смотровые/процедурные из полихлоропрена, неопудренные»;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6 «Перчатки хирургические из полихлорпрена, неопудренные»;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пп. 7, 8, 9, 10, 11 «Перчатки хирургические из латекса гевеи, неопудренные».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для закупаемого медицинского изделия «Перчатки смотровые/процедурные нитриловые, неопудренные, нестерильные» в описании объекта закупки Заказчиком установлено неправомерное требование «Класс потенциального риска применения для применения с активными медицинскими изделиями и манипуляций по обеззараживанию в соответствии с ГОСТ 31508-2012; приказ Минздрава России 4Н не ниже 2А».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Заказчика пояснил, что классификация и выбор медицинских изделий по классам риска регламентируется Федеральным законом «Об основах охраны здоровья граждан в Российской Федерации» от 21.11.2011 № 323-ФЗ (далее — Закон № 323). В частности, ч. 2 ст. 38 Закона № 323 указывает, что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изделий. Номенклатурная классификация медицинских изделий утверждается уполномоченным федеральным органом исполнительной власти.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указанного положения, Приказом Минздрава № 4н от 06.06.2012 «Об утверждении номенклатурной классификации медицинских изделий» (далее — Приказ № 4н) утвержден порядок классификации медицинских изделий по классам в зависимости от потенциального риска их применения (далее — Порядок классификации), в котором содержатся требования о соответствии медицинского изделия по своему назначению, определяющее его класс потенциального риска применения (далее — Класс риска).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Наряду с этим, порядок классификации и требования о соответствии регламентированы правилами и требованиями ГОСТ 31508-2012, утвержденными Приказом Федерального агентства по техническому регулированию и метрологии от 01 ноября 2012 г. № 609-ст.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Медицинские перчатки с классом риска 2а необходимы для проведения и манипуляций по обеззараживанию помещений, в том числе в операционном блоке, и требуются для обеззараживания многоразового инструментария.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правилами классификации ГОСТ 31508-2012 для этих целей необходимо применять перчатки с классом риска 2а.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Заказчик, оценив особенности оказания медицинских услуг и медицинской помощи, возможные риски, необходимую защиту медицинского персонала, обоснованно включил в описание объекта закупки оспариваемую характеристику.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пояснил, что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имеется ряд регистрационных изделий, выданных на смотровые стерильные медицинские перчатки, имеющие класс потенциального риска применения не ниже 2а: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«Перчатки диагностические (смотровые) стерильные одноразовые из натурального латекса гевеи по ТУ 22.19.60.111-001-03859757-2017», регистрационное удостоверение РЗН 2018/6976 от 28.03.2018;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«Перчатки латексные диагностические стерильные неопудренные текстурированные ВюАпсоге® по ТУ 22.19.60-001-31887864-2019 в вариантах исполнения», регистрационное удостоверение РЗН 2021/ 15348 от 16.09.2021;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«Перчатки медицинские смотровые (диагностические) латексные и синтетические, стерильные и нестерильные, опудренные и неопудренные», регистрационное удостоверение ФСЗ 2010/07612 от 18.08.2014;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«Перчатки медицинские диагностические (смотровые) из латекса гевеи стерильные неопудренные текстурированные по ТУ 22.19.60-005-47211359-2023», регистрационное удостоверение РЗН 2024/21899 от 16.01.2024;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«Перчатки смотровые одноразовые стерильные латексные 8ГМ®», регистрационное удостоверение РЗН 2019/8162 от 15.06.2023.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представлено документов и сведений,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свидетельствующих об ограничении количества участников закупки при установлении оспариваемого требования к закупаемым изделиям.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в составе жалобы Заявителя не содержится доводов, свидетельствующих о том, что требованиям извещения в результате установления спорного показателя не соответствует ни одно изделие, в том числе, представленные представителем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Заказчиком неправомерно уставлено требование к методу стерилизации закупаемых изделий.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установлено, в том числе следующее требование к закупаемым изделиям, например по позиции «Перчатки хирургические из латекса гевеи, неопудренные»: «Метод стерилизации радиационный для профилактики контактного дерматита на химические компоненты, используемые при газовой стерилизации».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что, на рынке медицинских изделий в настоящее время представлены стерильные медицинские перчатки только с 2 способами стерилизации: газовым методом (с применением этиленоксида или этиленхлоргидрина, а также иных веществ сопоставимых по своему действию) и радиационным (гамма-излучение).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Радиационный метод стерилизации превалирует над другими методами стерилизации в аспекте безопасности применения стерильного изделия.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перчатки с радиационным методом стерилизации имеют преимущество в отношении безопасности как для пациента, так и для медицинского работника. При этом, закупка изделий с отсутствием токсичности не противоречит нормам законодательства.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установила, что в соответствии с ч.4 ст. 38 Федерального закона от 21 ноября 2011 г. № 323-ФЗ «Об основах охраны здоровья граждан в Российской Федерации»,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 Следовательно, перчатки хирургические стерильные разрешены к обращению и соответствуют требованию о стерильности независимо от того, каким образом, осуществлялась стерилизация перчаток.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Комиссия Управления приходит к выводу, что качество «стерильные» может быть обеспечено применением различных способов стерилизации, например, газовым, воздушным, паровым, химическим. Перчатки, стерилизованные любым способом, являются стерильными и могут быть использованы для целей, указанных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предъявление требования к конкретному методу стерилизации является избыточным, поскольку согласно положениям ГОСТ Р ИСО 14937-2012 «Стерилизация медицинской продукции» медицинское изделие должно быть стерильно, однако факт необходимой стерильности достигается множеством методов стерилизации, среди которых имеются аналогичные по параметрам (материал изделия, упаковки и т. д.).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ограничивая методы стерилизации только радиационным, Заказчик необоснованно ограничивает возможность предложения медицинских изделий, стерилизованных иным методом, при том что изделия имеют одинаковый эффект стерилизации.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ГОСТ Р 58162-2018 (180/Т8 16775:2014) «Упаковка для медицинских изделий, подлежащих финишной стерилизации. Руководство по применению ИСО 11607-1 и ИСО 11607-2» о том, что не все материалы подходят для процесса стерилизации можно сделать вывод, что именно поставщик/производитель медицинского изделия определяет, какой метод стерилизации более совместим с медицинским изделием.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Заказчиком предоставлено не было.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994" w:val="left"/>
        </w:tabs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об обоснованности вышеуказанного довода жалобы и о нарушении Заказчиком положений п.1 ч.1, ч.2 ст.33 Закона о контрактной системе при формировании извещения,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</w:t>
        <w:tab/>
        <w:t>ст.7.30 Кодекса Российской Федерации об административных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при решении вопроса о выдачи Заказчику обязательного для исполнения предписания об устранении нарушений законодательства о контрактной системе Комиссия Управления руководствовалась тем, что на основании протокола подведения итогов определения поставщика (подрядчика, исполнителя) от 30.09.2024 №ИЭА1 на участие в данной закупочной процедуре подано две заявки участников, соответствующие требованиям извещения, что свидетельствует о возможности сформировать заявку на участие в аукционе на установленных положениях описании объекта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«МЕДПОСТАВЩИК» на действия ФГБУЗ КБ № 85 ФМБА России обоснованной в части установления неправомерных требования к закупаемому медицинскому изделию.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п.1 ч.1, ч.2 ст.33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определение поставщика (подрядчика, исполнителя).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9" w:val="left"/>
        </w:tabs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58" w:right="543" w:bottom="121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86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26.pt;width:145.70000000000002pt;height:19.900000000000002pt;z-index:-125829367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8" behindDoc="0" locked="0" layoutInCell="1" allowOverlap="1">
            <wp:simplePos x="0" y="0"/>
            <wp:positionH relativeFrom="page">
              <wp:posOffset>3147695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3604895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3.85000000000002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3562350</wp:posOffset>
                </wp:positionH>
                <wp:positionV relativeFrom="paragraph">
                  <wp:posOffset>494665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5pt;margin-top:38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9" behindDoc="0" locked="0" layoutInCell="1" allowOverlap="1">
                <wp:simplePos x="0" y="0"/>
                <wp:positionH relativeFrom="page">
                  <wp:posOffset>6012815</wp:posOffset>
                </wp:positionH>
                <wp:positionV relativeFrom="paragraph">
                  <wp:posOffset>330200</wp:posOffset>
                </wp:positionV>
                <wp:extent cx="118872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3.44999999999999pt;margin-top:26.pt;width:93.600000000000009pt;height:19.900000000000002pt;z-index:-125829364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009Е4В25ВАЕ808П44Е0В7ВЕ0438СО1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21.03.2024 по 14.06.2025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46" w:bottom="184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235" distL="0" distR="0" simplePos="0" relativeHeight="12582939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114300</wp:posOffset>
                </wp:positionV>
                <wp:extent cx="137160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8.pt;margin-top:9.pt;width:108.pt;height:19.699999999999999pt;z-index:-125829362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93" behindDoc="0" locked="0" layoutInCell="1" allowOverlap="1">
            <wp:simplePos x="0" y="0"/>
            <wp:positionH relativeFrom="page">
              <wp:posOffset>3147695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3604895</wp:posOffset>
                </wp:positionH>
                <wp:positionV relativeFrom="paragraph">
                  <wp:posOffset>586740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3.85000000000002pt;margin-top:46.2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3562350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5pt;margin-top:21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235" distL="0" distR="0" simplePos="0" relativeHeight="125829394" behindDoc="0" locked="0" layoutInCell="1" allowOverlap="1">
                <wp:simplePos x="0" y="0"/>
                <wp:positionH relativeFrom="page">
                  <wp:posOffset>6094730</wp:posOffset>
                </wp:positionH>
                <wp:positionV relativeFrom="paragraph">
                  <wp:posOffset>114300</wp:posOffset>
                </wp:positionV>
                <wp:extent cx="1124585" cy="2501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9.90000000000003pt;margin-top:9.pt;width:88.549999999999997pt;height:19.699999999999999pt;z-index:-125829359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00803Е81769ПЕ8688001РВ12СЗС6В74577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40"/>
        <w:jc w:val="left"/>
      </w:pPr>
      <w:r>
        <w:drawing>
          <wp:anchor distT="0" distB="0" distL="114300" distR="1900555" simplePos="0" relativeHeight="125829396" behindDoc="0" locked="0" layoutInCell="1" allowOverlap="1">
            <wp:simplePos x="0" y="0"/>
            <wp:positionH relativeFrom="page">
              <wp:posOffset>3147695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3604895</wp:posOffset>
                </wp:positionH>
                <wp:positionV relativeFrom="paragraph">
                  <wp:posOffset>453390</wp:posOffset>
                </wp:positionV>
                <wp:extent cx="128016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3.85000000000002pt;margin-top:35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3562350</wp:posOffset>
                </wp:positionH>
                <wp:positionV relativeFrom="paragraph">
                  <wp:posOffset>142240</wp:posOffset>
                </wp:positionV>
                <wp:extent cx="1722120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0.5pt;margin-top:11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00ЕЗВ71218Е970424В4С41С7997434Е304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300000000000004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5000000000003pt;margin-top:33.6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0000000000001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280"/>
      <w:ind w:firstLine="1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ind w:firstLine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