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Мухину Д.Е.</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Ленинградская, 9/8, кв. 1138</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мкрн. Новый Оккервиль</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Кудрово, Ленинградская область, 188691</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^ргедтиЫп@уапдеx.ш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Красноярскому району водных путей</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 судоходства — филиалу</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ФБУ «Администрация Енисейского бассейна внутренних водных путей»</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Сурикова, 53</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Красноярск, 660049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к^Vр^8@гатЫе^.ш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«БАЗА»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б-р Загребский, д. 33, Литер А, 10Н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пом. 22А, г. Санкт-Петербург, 192283</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тГо@шк88рЬ.ш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23А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Москва, 121151.</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805" w:bottom="1217" w:left="1140" w:header="0" w:footer="3" w:gutter="0"/>
          <w:pgNumType w:start="1"/>
          <w:cols w:num="2" w:space="720" w:equalWidth="0">
            <w:col w:w="4090" w:space="1176"/>
            <w:col w:w="4690"/>
          </w:cols>
          <w:noEndnote/>
          <w:rtlGutter w:val="0"/>
          <w:docGrid w:linePitch="360"/>
        </w:sectPr>
      </w:pPr>
      <w:r>
        <w:rPr>
          <w:color w:val="000000"/>
          <w:spacing w:val="0"/>
          <w:w w:val="100"/>
          <w:position w:val="0"/>
          <w:sz w:val="24"/>
          <w:szCs w:val="24"/>
          <w:shd w:val="clear" w:color="auto" w:fill="auto"/>
          <w:lang w:val="ru-RU" w:eastAsia="ru-RU" w:bidi="ru-RU"/>
        </w:rPr>
        <w:t>ко@118-1епдег.ш</w:t>
      </w: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 024/06/106-3032/2024</w:t>
      </w:r>
    </w:p>
    <w:p>
      <w:pPr>
        <w:pStyle w:val="Style13"/>
        <w:keepNext w:val="0"/>
        <w:keepLines w:val="0"/>
        <w:widowControl w:val="0"/>
        <w:shd w:val="clear" w:color="auto" w:fill="auto"/>
        <w:tabs>
          <w:tab w:pos="864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02 октября 2024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Грицай, начальник отдела, члены Комиссии: Е.М. Хоменко, главный государственный инспектор, К.С. Варава, ведущий специалист-эксперт (далее - Комиссия), рассмотрев жалобу индивидуального предпринимателя Мухина Дмитрия Евгеньевича (далее - податель жалобы) на действия заказчика — Красноярского района водных путей и судоходства - филиал ФБУ «Администрация Енисейского бассейна внутренних водных путей» (КРВПиС) (далее — заказчик) и аукционной комиссии заказчика (далее — аукционная комиссия) при проведении электронного аукциона «Поставка запасных частей для нужд флота», объявленного извещением № 0319100033324000157 (далее - электронный аукцион) на электронной торговой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а также нарушение заказчиком процедуры заключения контракта по результатам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В адрес аукционной комиссии, заказчика, подателя жалобы, оператора электронной</w:t>
      </w:r>
    </w:p>
    <w:p>
      <w:pPr>
        <w:pStyle w:val="Style15"/>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41" w:bottom="1217" w:left="1097"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в целях объективного и всестороннего рассмотрения обстоятельств жалобы по существу уведомление о содержании жалобы с информацией о месте и времени ее рассмотрения было направлено Красноярским УФАС России в адрес участника закупки ООО «БАЗА», предложившего к поставке товары отечественного происхождения. Также в указанном уведомлении Красноярское УФАС России истребовало у ООО «БАЗА» возражения на жалобу, с приложением документов, подтверждающих страну происхождения товара «Датчик утечки топлива 13057213 для двигателя \\е1с11а1 \УР615С-24, 28.11.42.000», предложенного в ходе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от подателя жалобы поступило в адрес Красноярского УФАС России ходатайство о предоставлении возможности участия в рассмотрении жалобы по существу с использованием системы видео-конференц-связи.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вышеуказанное ходатайство по существу, Красноярское УФАС России заблаговременно предоставило подателю жалобы возможность участия в указанном заседании Комиссии с использованием системы видео-конференц-связи. В назначенные дату и время проведения такого заседания Комиссии — 02.10.2024 года в 14 часов 10 минут (по местному времени) — податель жалобы обеспечил свое участие с надлежащим подтверждением личности.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к моменту проведения указанного заседания Комиссии заказчик, аукционная комиссии направили в адрес Красноярского УФАС России ходатайство о проведении указанного заседания Комиссии в отсутствие своих представителей.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по мнению подателя жалобы, заказчиком неправомерно принято решение о заключении контракта с подателем жалобы по цене, сниженной на 15% в рамках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так как сведения, поданные иным участником закупки, продекларировавшим страну происхождения предлагаемого к поставке товара «Датчик утечки топлива 13057213 для двигателя \\е1с11а1 \УР615С-24, 28.11.42.000» - Российская Федерация, являются недостоверными, поскольку, по сведениям подателя жалобы, указанный товар в Российской Федерации не производятся.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подателя жалобы, в целях установления факта недостоверности сведений о стране происхождения предложенного к поставке товара аукционная комиссия имела возможность проверить и проанализировать сведения, указанные в заявках участников закупки, в том числе, информацию о стране происхождения продукции, являющейся предметом контракта. Не убедившись в достоверности информации, заказчик неправомерно при заключении контракта снизил цену контракта.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в ходе проведения заседания Комиссии по рассмотрению жалобы по существу податель жалобы обратил внимание на то обстоятельство, что, по его мнению, аукционная комиссия сформирована заказчиком с нарушением требований части 5 статьи 39 Закона о контрактной системе, в противном случае у членов аукционной комиссии, будучи лицами, обладающими специальными знаниями, относящимися к объекту закупки, должно было возникнуть сомнение в достоверности сведений о стране происхождения товара.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заказчиком, аукционной комиссией были представлены письменные возражения, сообщающие о том, что заказчиком сформировано условие о цене направленного победителю закупки контракта, аукционной комиссией рассмотрены заявки в соответствии с требованиями Закона о контрактной системе, Приказа № 126н.</w:t>
      </w:r>
    </w:p>
    <w:p>
      <w:pPr>
        <w:pStyle w:val="Style13"/>
        <w:keepNext w:val="0"/>
        <w:keepLines w:val="0"/>
        <w:widowControl w:val="0"/>
        <w:shd w:val="clear" w:color="auto" w:fill="auto"/>
        <w:bidi w:val="0"/>
        <w:spacing w:before="0" w:after="0" w:line="276"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2024-16847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проведению электронного аукциона с установлением начальной (максимальной) ценя контракта в размере 333 144,68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13"/>
        <w:keepNext w:val="0"/>
        <w:keepLines w:val="0"/>
        <w:widowControl w:val="0"/>
        <w:shd w:val="clear" w:color="auto" w:fill="auto"/>
        <w:bidi w:val="0"/>
        <w:spacing w:before="0" w:after="0" w:line="262"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путем заполнения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путем прикрепления электронных документов (часть 2 статьи 42 Закона о контрактной системе, пункт 4 вышеуказанного Положения), Комиссия установила, что в соответствии с описанием объекта закупки заказчику требовалась поставка запасных частей для нужд флота (контроллер многофункциональный КМ2-3Д-11, датчик утечки топлива 13057213 для 2024-16847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двигателя \\е1с11а1 \УР615С-24). соответствующих коду ОКПД2 28.11.42.000, который включен в приложение № 1 Приказа № 126н. Таким образом, заказчиком в извещении о проведении электронного аукциона правомерно были установлены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1.1 пункта 1 Приказа № 126н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Приказа № 126н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 (пункт 1.6 Приказа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рамках предложения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(подпункты «а», «б»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5 части 1 статьи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требования о предоставлении в составе заявки сведений, предусмотренных Приказом № 126н, установлено в электронном документе «Требования к содержанию, составу заявки на участие в закупке и инструкция по ее заполнению», являющимся приложением к извещению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1 части 5 статьи 49 Закона о контрактной системе устанавливает,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13"/>
        <w:keepNext w:val="0"/>
        <w:keepLines w:val="0"/>
        <w:widowControl w:val="0"/>
        <w:numPr>
          <w:ilvl w:val="0"/>
          <w:numId w:val="1"/>
        </w:numPr>
        <w:shd w:val="clear" w:color="auto" w:fill="auto"/>
        <w:tabs>
          <w:tab w:pos="884" w:val="left"/>
        </w:tabs>
        <w:bidi w:val="0"/>
        <w:spacing w:before="0" w:after="0" w:line="276" w:lineRule="auto"/>
        <w:ind w:left="0" w:right="0" w:firstLine="580"/>
        <w:jc w:val="both"/>
        <w:sectPr>
          <w:footerReference w:type="default" r:id="rId10"/>
          <w:footnotePr>
            <w:pos w:val="pageBottom"/>
            <w:numFmt w:val="decimal"/>
            <w:numRestart w:val="continuous"/>
          </w:footnotePr>
          <w:pgSz w:w="11900" w:h="16840"/>
          <w:pgMar w:top="1119" w:right="541" w:bottom="597" w:left="1105" w:header="691" w:footer="169" w:gutter="0"/>
          <w:cols w:space="720"/>
          <w:noEndnote/>
          <w:rtlGutter w:val="0"/>
          <w:docGrid w:linePitch="360"/>
        </w:sectPr>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2024-16847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систем;</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пункта 1 части 5 статьи 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 12 статьи 48 Закона о контратакой системе устанавливает, что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Закона о контратакой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контратакой системе;</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статьей 14 Закона о контратакой системе (за исключением случаев непредставления информации и документов, предусмотренных пунктом 5 части 1 статьи 43 Закона о контратакой системе);</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пунктом 5 части 1 статьи 43 Закона о контратакой системе, если такие документы предусмотрены нормативными правовыми актами, принятыми в соответствии с частью 3 статьи 14 Закона о контратакой системе (в случае установления в соответствии со статьей 14 Закона о контратакой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3"/>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3"/>
        </w:numPr>
        <w:shd w:val="clear" w:color="auto" w:fill="auto"/>
        <w:tabs>
          <w:tab w:pos="146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предусмотренных частью 6 статьи 45 Закона о контратакой системе;</w:t>
      </w:r>
    </w:p>
    <w:p>
      <w:pPr>
        <w:pStyle w:val="Style13"/>
        <w:keepNext w:val="0"/>
        <w:keepLines w:val="0"/>
        <w:widowControl w:val="0"/>
        <w:numPr>
          <w:ilvl w:val="0"/>
          <w:numId w:val="3"/>
        </w:numPr>
        <w:shd w:val="clear" w:color="auto" w:fill="auto"/>
        <w:tabs>
          <w:tab w:pos="146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numPr>
          <w:ilvl w:val="0"/>
          <w:numId w:val="3"/>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Закона о контратакой системе.</w:t>
      </w:r>
    </w:p>
    <w:p>
      <w:pPr>
        <w:pStyle w:val="Style13"/>
        <w:keepNext w:val="0"/>
        <w:keepLines w:val="0"/>
        <w:widowControl w:val="0"/>
        <w:shd w:val="clear" w:color="auto" w:fill="auto"/>
        <w:bidi w:val="0"/>
        <w:spacing w:before="0" w:after="0" w:line="240" w:lineRule="auto"/>
        <w:ind w:left="0" w:right="0" w:firstLine="580"/>
        <w:jc w:val="both"/>
        <w:sectPr>
          <w:footerReference w:type="default" r:id="rId11"/>
          <w:footnotePr>
            <w:pos w:val="pageBottom"/>
            <w:numFmt w:val="decimal"/>
            <w:numRestart w:val="continuous"/>
          </w:footnotePr>
          <w:pgSz w:w="11900" w:h="16840"/>
          <w:pgMar w:top="1119" w:right="541" w:bottom="1119" w:left="1106" w:header="691"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20.09.2024 №ИЭА1 по окончании срока подачи заявок на участие в закупке было подано 4 заявки с идентификационными номерами: 117304929, 117299674, 117285185, 117300432, которые признаны аукционной комиссией соответствующими требованиям, установленным в извещении об осуществлении закупки. Победителем закупки был признан податель жалобы с</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ценовым предложением 241 529,60 руб. (Двести сорок одна тысяча пятьсот двадцать девять рублей 60 копеек).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проанализировав содержание заявок на участие в закупке, установила, что из 4 (четырех) заявок только в одной заявке Российская Федерации была заявлена как страна происхождения всех товаров (как контроллера многофункционального КМ2-3Д-11, так и датчика утечки топлива 13057213 для двигателя ^е1сЬа1 ^Р615С-24), в иных заявках, в том числе заявке подателя жалобы (победителя закупки) страной происхождения контроллера многофункционального КМ2-3Д-11 продекларирована Российская Федерации, а страной происхождения датчика утечки топлива 13057213 для двигателя ^е1сЬа1 ^Р615С-24 — Китайская Народная Республика.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части 5 статьи 24 Закона о контрактной системе победителем электронного аукциона признан участник закупки с идентификационным номером заявки 117304929 (податель жалобы), заявка которого содержала предложение о поставке наряду с товаром отечественного происхождения товар иностранного происхождения (Китайская Народная Республика).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участник закупки ООО «БАЗА» с идентификационным номером заявки 117285185 предложил к поставке товары с указанием характеристик, предусмотренных в извещении о проведении электронного аукциона, указав страну происхождения всех товаров - Российская Федерация.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контракт с победителем аукциона — подателем жалобы, предложившим в заявке к поставке товар иностранного происхождения, подлежал заключению по цене, сниженной на 15% от предложенной подателем жалобы.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подпункта «б»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Поскольку подателем жалобы в ходе проведения электронного аукциона была предложена цена исполнения контракта в размере 241 529,60 руб. (Двести сорок одна тысяча пятьсот двадцать девять рублей 60 копеек), что подтверждается протоколом подачи ценовых предложений от 18.09.2024 №ЦПА1, то заказчиком в единой информационной системе 24.09.2024 был размещен проект контракта с ценой контракта, предложенной в соответствии с Законом о контрактной системе подателем жалобы, с учетом положений подпункта «а» пункта 1.3 Приказа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отношении доводов подателя жалобы о предоставлении недостоверных сведений одним из участников закупки о поставке всех товаров, страна происхождения которых Российская Федерация, и обязанности проведения аукционной комиссией, заказчиком дополнительных проверочных мероприятий с целью подтверждения достоверности страны происхождения предложенных к поставке товаров, Комиссия полагает необходимым отметить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Требования к содержанию заявки на участие в закупке предусмотрены частями 1, 2 статьи 43 Закона о контрактной системе, при этом перечень указанных требований является исчерпывающим в силу части 3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подпункту «б» пункта 2 части 1 статьи 43 Закона о контрактной системе, пункту 1.6 Приказа № 126н подтверждением страны происхождения товаров является указание (декларирование) участником закупки в заявке наименования страны происхождения товара.</w:t>
      </w:r>
    </w:p>
    <w:p>
      <w:pPr>
        <w:pStyle w:val="Style13"/>
        <w:keepNext w:val="0"/>
        <w:keepLines w:val="0"/>
        <w:widowControl w:val="0"/>
        <w:shd w:val="clear" w:color="auto" w:fill="auto"/>
        <w:bidi w:val="0"/>
        <w:spacing w:before="0" w:after="0" w:line="288" w:lineRule="auto"/>
        <w:ind w:left="0" w:right="0" w:firstLine="580"/>
        <w:jc w:val="both"/>
        <w:sectPr>
          <w:footerReference w:type="default" r:id="rId12"/>
          <w:footnotePr>
            <w:pos w:val="pageBottom"/>
            <w:numFmt w:val="decimal"/>
            <w:numRestart w:val="continuous"/>
          </w:footnotePr>
          <w:pgSz w:w="11900" w:h="16840"/>
          <w:pgMar w:top="1119" w:right="541" w:bottom="583" w:left="1106" w:header="691" w:footer="155" w:gutter="0"/>
          <w:cols w:space="720"/>
          <w:noEndnote/>
          <w:rtlGutter w:val="0"/>
          <w:docGrid w:linePitch="360"/>
        </w:sectPr>
      </w:pPr>
      <w:r>
        <w:rPr>
          <w:color w:val="000000"/>
          <w:spacing w:val="0"/>
          <w:w w:val="100"/>
          <w:position w:val="0"/>
          <w:sz w:val="24"/>
          <w:szCs w:val="24"/>
          <w:shd w:val="clear" w:color="auto" w:fill="auto"/>
          <w:lang w:val="ru-RU" w:eastAsia="ru-RU" w:bidi="ru-RU"/>
        </w:rPr>
        <w:t>Положения Приказа № 126н, равно как и требования действующего законодательства о контрактной системе в сфере закупок не обязывают участника закупки предоставлять какие-либо документы, подтверждающие страну происхождения предложенного к поставке товара, при проведении конкурентной процедуры с установлением условий допуска в соответствии с 2024-16847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Приказом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вопреки утверждению подателя жалобы об обратном, аукционная комиссия не обладает полномочиями направлять запросы участникам закупки с целью получения от них дополнительных документов, подтверждающих страну происхождения товара при проведении процедуры определения поставщика (подрядчика, исполнителя), что прямо противоречит части 1 статьи 46 Закона о контрактной системе. Кроме того, аукционной комиссии не вменена законодательная обязанность при проведении конкурентной процедуры с установлением условий допуска в соответствии с Приказом № 126н в рамках рассмотрения заявок, поданных на участие в такой процедуре, осуществлять дополнительные проверочные мероприятий в целях установления степени достоверности страны происхождения предложенных участниками закупки к поставке товаров в поданных ими заявках. Заказчику также не вменена законодательная обязанность при проведении процедуры заключения контракта по результатам закупки с установлением условий допуска в соответствии с Приказом № 126н осуществлять дополнительные проверочные мероприятий в целях установления степени достоверности страны происхождения предложенных участниками закупки к поставке товаров в поданных ими заявках.</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таких обстоятельствах, основания не доверять информации, представленной участником закупки с идентификационным номером заявки 117285185, у аукционной комиссии на момент рассмотрения заявок на предмет соответствия требованиям извещения о проведении электронного аукциона не имелись. Равно такие основания не имелись и у заказчика при проведении процедуры заключения контракта по результатам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Указанные выводы Комиссии относительно полномочий аукционной комиссии находят свое подтверждение в судебной практике по делам №№ А05-6096/2022, А58-4915/2023, А33-4002/2023, А33-549/2024.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этой связи Комиссия не усмотрела оснований для признания состоятельным довода подателя жалобы о том, что аукционная комиссия была сформирована заказчиком с нарушением требований части 5 статьи 39 Закона о контрактной системе, поскольку проанализировав приказ заказчика о создании аукционной комиссии от 10.01.2022 №1, Комиссия установила, что заместитель председатель аукционной комиссии Селиверов И.А. занимает должность главного инженера заказчика, член аукционной комиссии Степанов Е.С. - ведущего инженера по МиДО, секретарь аукционной комиссии Сергеев А.И. - главного специалиста по МТСиДО, которые обладают высшим образованием с присвоенной квалификацией «инженер», что свидетельствует о совершении заказчиком действий по формированию состава аукционной комиссии преимущественно из лиц, обладающих специальными знаниями, относящимися к объекту закупки. Доказательств обратного Комиссии в ходе проведения заседания по рассмотрению жалобы по существу представлено не было.</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Поскольку предусмотренные пунктом 2 Приказа № 126н случаи для не применения при проведении электронного аукциона положений подпунктов 1.1 - 1.3 пункта 1 Приказа № 126н не наступили, то заказчиком правомерно был сформирован с использованием ЕИС без своей подписи проект контракта, указанный в пункте 5 части 2 статьи 42 Закона о контрактной системе, с ценой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подпункта «а» пункта 1.3 Приказа № 126н.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Иная административная практика, на которую ссылается податель жалобы в содержании своей жалобы, не может быть принята во внимание Комиссией, поскольку в рамках проведения указанных контрольных мероприятий территориальными антимонопольными органами оценивались обстоятельства, отличные от обстоятельств рассматриваемой жалобы.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доводы подателя жалобы об обратном не находят своего подтверждения при рассмотрении жалобы по существу.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Одновременно с вышеизложенным, в рамках проведения внеплановой проверки на основании части 15 статьи 99 Закона о контрактной системе Комиссия Красноярского УФАС России в уведомлении о принятии жалобы к рассмотрению (исх. № МД/15748/24 от 27.09.2024) потребовала участника закупки ООО «БАЗА» с идентификационным номером </w:t>
      </w:r>
      <w:r>
        <w:rPr>
          <w:color w:val="000000"/>
          <w:spacing w:val="0"/>
          <w:w w:val="100"/>
          <w:position w:val="0"/>
          <w:sz w:val="24"/>
          <w:szCs w:val="24"/>
          <w:shd w:val="clear" w:color="auto" w:fill="auto"/>
          <w:lang w:val="ru-RU" w:eastAsia="ru-RU" w:bidi="ru-RU"/>
        </w:rPr>
        <w:t>заявки 117285185 представить в материалы внеплановой проверки документы, подтверждающие страну происхождения товара «Датчик утечки топлива 13057213 для двигателя \е1сЬа1 \Р615С- 24, 28.11.42.000», предложенного в ходе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в адрес Красноярского УФАС России участник закупки ООО «БАЗА» с идентификационным номером заявки 117285185 представил в письменной форме ответ, согласно которому при проведении электронного аукциона в отношении предложенного им товара «Датчик утечки топлива 13057213 для двигателя \\</w:t>
      </w:r>
      <w:r>
        <w:rPr>
          <w:color w:val="000000"/>
          <w:spacing w:val="0"/>
          <w:w w:val="100"/>
          <w:position w:val="0"/>
          <w:sz w:val="24"/>
          <w:szCs w:val="24"/>
          <w:shd w:val="clear" w:color="auto" w:fill="auto"/>
          <w:vertAlign w:val="superscript"/>
          <w:lang w:val="ru-RU" w:eastAsia="ru-RU" w:bidi="ru-RU"/>
        </w:rPr>
        <w:t>7</w:t>
      </w:r>
      <w:r>
        <w:rPr>
          <w:color w:val="000000"/>
          <w:spacing w:val="0"/>
          <w:w w:val="100"/>
          <w:position w:val="0"/>
          <w:sz w:val="24"/>
          <w:szCs w:val="24"/>
          <w:shd w:val="clear" w:color="auto" w:fill="auto"/>
          <w:lang w:val="ru-RU" w:eastAsia="ru-RU" w:bidi="ru-RU"/>
        </w:rPr>
        <w:t>е1ска1 \Р615С-24, 28.11.42.000» страной происхождения является Китай. При этом, указанный участник закупки не представил в материалы внеплановой проверки документы, подтверждающие то обстоятельство, что у предложенного им к поставке товар «Датчик утечки топлива 13057213 для двигателя \е1сЬа1 \Р615С-24, 28.11.42.000» страной происхождения товара является Российская Федерация.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на момент рассмотрения жалобы по существу Комиссии и субъектам контроля стало известно о том, что в действительности при проведении электронного аукциона не было подано такой заявки, которая одновременно признана соответствующей требованиям извещения об осуществлении закупки и содержат исключительно предложение о поставке товаров, происходящих из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Соответственно, условий и оснований применения Приказа № 126н по состоянию на 02.10.2024 не имеется.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в рассматриваемом случае имеет место факт нарушения прав и законных интересов подателя жалобы (победителя закупки), выражающийся в снижении его ценового предложения на 15 %, в результате действий иного участника закупки, но без наличия вины заказчика, аукционной комиссии. Таким образом, в данном случае, с учетом выявленного обстоятельства, имеется необходимость в выдаче заказчику предписания о совершении действий, направленных на заключение контракта с победителем закупки по предложенной им цене без применения понижающего коэффициента в соответствии с Приказом № 126н, в целях восстановления нарушенных прав победителя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проведения внеплановой проверки, руководствуясь частями 3, 15, 22 статьи 99, частью 8 статьи 106 Закона о контрактной системе, Комиссия решила: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 Признать жалобу индивидуального предпринимателя Мухина Дмитрия Евгеньевича необоснованной.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 В целях восстановления нарушенных прав победителя закупки выдать обязательное для исполнения предписание, в этой связи заказчику необходимо совершить действия, направленные на заключение контракта с победителем закупки по предложенной им цене, без применения понижающего коэффициента в соответствии с Приказом № 126н.</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736"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Грицай</w:t>
      </w:r>
    </w:p>
    <w:p>
      <w:pPr>
        <w:pStyle w:val="Style13"/>
        <w:keepNext w:val="0"/>
        <w:keepLines w:val="0"/>
        <w:widowControl w:val="0"/>
        <w:shd w:val="clear" w:color="auto" w:fill="auto"/>
        <w:tabs>
          <w:tab w:pos="8736"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Е.М. Хоменко</w:t>
      </w:r>
    </w:p>
    <w:p>
      <w:pPr>
        <w:pStyle w:val="Style13"/>
        <w:keepNext w:val="0"/>
        <w:keepLines w:val="0"/>
        <w:widowControl w:val="0"/>
        <w:shd w:val="clear" w:color="auto" w:fill="auto"/>
        <w:bidi w:val="0"/>
        <w:spacing w:before="0" w:after="680" w:line="240" w:lineRule="auto"/>
        <w:ind w:left="0" w:right="0" w:firstLine="0"/>
        <w:jc w:val="right"/>
      </w:pPr>
      <w:r>
        <w:rPr>
          <w:color w:val="000000"/>
          <w:spacing w:val="0"/>
          <w:w w:val="100"/>
          <w:position w:val="0"/>
          <w:sz w:val="24"/>
          <w:szCs w:val="24"/>
          <w:shd w:val="clear" w:color="auto" w:fill="auto"/>
          <w:lang w:val="ru-RU" w:eastAsia="ru-RU" w:bidi="ru-RU"/>
        </w:rPr>
        <w:t>К.С. Варава</w:t>
      </w:r>
    </w:p>
    <w:p>
      <w:pPr>
        <w:pStyle w:val="Style13"/>
        <w:keepNext w:val="0"/>
        <w:keepLines w:val="0"/>
        <w:widowControl w:val="0"/>
        <w:shd w:val="clear" w:color="auto" w:fill="auto"/>
        <w:bidi w:val="0"/>
        <w:spacing w:before="0" w:after="52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3"/>
      <w:footnotePr>
        <w:pos w:val="pageBottom"/>
        <w:numFmt w:val="decimal"/>
        <w:numRestart w:val="continuous"/>
      </w:footnotePr>
      <w:pgSz w:w="11900" w:h="16840"/>
      <w:pgMar w:top="1113" w:right="537" w:bottom="1160" w:left="1105" w:header="685"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10020300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wps:txbx>
                    <wps:bodyPr wrap="none" lIns="0" tIns="0" rIns="0" bIns="0">
                      <a:spAutoFit/>
                    </wps:bodyPr>
                  </wps:wsp>
                </a:graphicData>
              </a:graphic>
            </wp:anchor>
          </w:drawing>
        </mc:Choice>
        <mc:Fallback>
          <w:pict>
            <v:shape id="_x0000_s1031" type="#_x0000_t202" style="position:absolute;margin-left:57.pt;margin-top:789.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10020300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wps:txbx>
                    <wps:bodyPr wrap="none" lIns="0" tIns="0" rIns="0" bIns="0">
                      <a:spAutoFit/>
                    </wps:bodyPr>
                  </wps:wsp>
                </a:graphicData>
              </a:graphic>
            </wp:anchor>
          </w:drawing>
        </mc:Choice>
        <mc:Fallback>
          <w:pict>
            <v:shape id="_x0000_s1033" type="#_x0000_t202" style="position:absolute;margin-left:57.pt;margin-top:789.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4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s>
</file>