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76198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76198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76198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Забайкальскому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  <w:rPr>
          <w:sz w:val="16"/>
          <w:szCs w:val="16"/>
        </w:rPr>
      </w:pPr>
      <w:r>
        <w:rPr>
          <w:color w:val="476198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Лермонтова, 14, г. Чита, 672076</w:t>
        <w:br/>
        <w:t>почтовый адрес: а/я 803, г. Чита, 672000</w:t>
        <w:br/>
        <w:t>тел. (3022) 35-18-41, факс (3022) 32-12-31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476198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е-та11: 1о75@Й8.§оу.ги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МГ/4609/2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476198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Комитет образования Нерчинско-Заводского</w:t>
        <w:br/>
        <w:t>муниципального округа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674370, Забайкальский край, Нерчинско-Заводский р-н,</w:t>
        <w:br/>
        <w:t>с. Нерчинский Завод, ул. Советская, зд. 12</w:t>
        <w:br/>
        <w:t>копхсот@таП.ги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ГКУ «Забайкальский центр государственных закупок»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672010, г. Чита, ул. Амурская, д. 13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2аЬдо82акир@до82ак.е-хаЬ.ги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ООО Фирма "Кварц"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674600, Забайкальский край, г. Борзя, ул. Чкалова, 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10А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56" w:bottom="1231" w:left="1140" w:header="0" w:footer="3" w:gutter="0"/>
          <w:pgNumType w:start="1"/>
          <w:cols w:num="2" w:space="720" w:equalWidth="0">
            <w:col w:w="4234" w:space="1090"/>
            <w:col w:w="478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к79245017574@уап4ех.ги</w:t>
      </w:r>
    </w:p>
    <w:p>
      <w:pPr>
        <w:widowControl w:val="0"/>
        <w:spacing w:line="12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" w:right="0" w:bottom="11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  <w:bookmarkEnd w:id="2"/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рассмотрению жалобы №075/06/105-586/2024</w:t>
        <w:br/>
        <w:t>о нарушении законодательства при осуществлении закупки</w:t>
      </w:r>
      <w:bookmarkEnd w:id="4"/>
    </w:p>
    <w:p>
      <w:pPr>
        <w:pStyle w:val="Style16"/>
        <w:keepNext w:val="0"/>
        <w:keepLines w:val="0"/>
        <w:widowControl w:val="0"/>
        <w:shd w:val="clear" w:color="auto" w:fill="auto"/>
        <w:tabs>
          <w:tab w:pos="7402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02 октября 2024 года</w:t>
        <w:tab/>
        <w:t>г. Чита, ул. Лермонтова, 14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управления, членов комиссии: Китаевой И.С. главного государственного инспектора отдела контроля закупок, Ереминой В.В. главного специалиста-эксперта отдела контроля закупок,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Фирма «Кварц»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членами комиссии уполномоченного учреждения - ГКУ «Забайкальский центр государственных закупок», при осуществлении для нужд заказчика - Комитета образования Нерчинско-Заводского муниципального округа электронного аукциона «Поставка бурого угля (00009330-ЭА)» (реестровый № 0891200000624008763),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 видеоконференцсвязи представителя уполномоченного учреждения Дьякова А.П. (доверенность от 06.12.2023), в отсутствие представителей заявителя и заказчика (о дате, времени и месте рассмотрения жалобы уведомлены надлежащим образом),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40" w:line="240" w:lineRule="auto"/>
        <w:ind w:left="454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25.09.2024 в адрес Забайкальского УФАС России поступила жалоба ООО Фирма «Кварц»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 Заявитель обжалует действия членов комиссии уполномоченного учреждения по отклонению заявки общества ввиду несоответствия предлагаемого к поставке товара описанию объекта закупки, указанному в извещении о проведении аукциона №0891200000624008763 (по позиции «зольность угля»).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указанное в заявке значение 14,6% является улучшенным по сравнению с требуемым в извещении значением «больше или равно 15%», в связи с чем у членов комиссии отсутствовали основания для отклонения заявки. Заявитель указывает, что значение является достоверным, сведения указаны из сертификата соответствия на уголь, который по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8" w:name="bookmark8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8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7"/>
        </w:rPr>
        <w:t>калорийности и другим характеристикам подходит условиям извещения. Просит выдать предписание об отмене протокола подведения итогов и отмене аукциона.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уполномоченного учреждения не согласился с доводами заявителя, указав, что описание объекта закупки формируется заказчиком, члены комиссии уполномоченного органа оценивают заявки на соответствие установленным в извещении о закупке требованиям с учетом инструкции по заполнению заявки.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тем, что аукционная комиссия не дает оценку потребностям заказчика, не осуществляет описание объекта закупки, и рассматривает заявку на соответствие установленным в извещении о закупке требованиям с учетом положений инструкции по заполнению заявки, членами комиссии правомерно принято решение об отклонении заявки.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пояснения не представлены.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закупки №0891200000624008763, в ходе которой установлено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12.09.2024 уполномоченным учреждением для нужд заказчика на официальном сайте ЕИС размещены извещение и электронные документы о проведении аукциона в электронной форме на поставку бурого угля (реестровый № 0891200000624008763).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16 625 740,89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Наименование, описание объекта закупки и инструкция по заполнению заявки размещены в файле «Описание объекта закупки», согласно которому требуется:</w:t>
      </w:r>
    </w:p>
    <w:tbl>
      <w:tblPr>
        <w:tblOverlap w:val="never"/>
        <w:jc w:val="center"/>
        <w:tblLayout w:type="fixed"/>
      </w:tblPr>
      <w:tblGrid>
        <w:gridCol w:w="802"/>
        <w:gridCol w:w="1872"/>
        <w:gridCol w:w="1406"/>
        <w:gridCol w:w="1363"/>
        <w:gridCol w:w="2381"/>
        <w:gridCol w:w="2405"/>
      </w:tblGrid>
      <w:tr>
        <w:trPr>
          <w:trHeight w:val="24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Перечень товаров, работ, услуг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Кол-во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Инструкции</w:t>
            </w:r>
          </w:p>
        </w:tc>
      </w:tr>
      <w:tr>
        <w:trPr>
          <w:trHeight w:val="113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Уголь бурый (лигнит)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2733.00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Зольность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&gt; 15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Процент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проведения аукциона поступило 3 ценовых предложения, из них наименьшее предложение в заявках №71 и №72 в размере 14 796 909,33 рублей (протокол подачи ценовых предложений от 23.09.2024 №ЦПА1).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25.09.2024 №ИЭА1 из 3 поступивших заявок 2 признаны соответствующими установленным в извещении о закупке требованиям, и 1 заявка - №71 (ООО Фирма «Кварц») отклонена в связи с Несоответствием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закупки. Победителем аукциона признан участник закупки с заявкой №72.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рассмотрения жалобы муниципальный контракт не заключен.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представленные документы, заслушав объяснения представителя уполномоченного учреждения, Комиссия приходит к следующим выводам.</w:t>
      </w:r>
      <w:bookmarkEnd w:id="1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о неправомерном отклонении заявки признана Комиссией необоснованной по следующим основаниям.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пунктами 1 и 3 части 2 статьи 42 Закона о контрактной системе извещение об осуществлении закупки должно содержать следующие электронные документы: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описание объекта закупки в соответствии со статьей 33 закона;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3) требования к содержанию, составу заявки на участие в закупке в соответствии с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названной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а) пункта 2 части 1 статьи 43 Закона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Названные требования утверждены уполномоченным учреждением в электронном документе «Требования к содержанию, составу заявки на участие в закупке». Таким образом, при описании объекта закупки заказчиком указываются требуемые характеристики закупаемых товаров, участником закупки в составе заявки предлагается товар с характеристиками, соответствующими установленным в техническом задании.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5 статьи 49 Закона о контрактной системе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fldChar w:fldCharType="begin"/>
      </w:r>
      <w:r>
        <w:rPr/>
        <w:instrText> HYPERLINK "http://www.consultant.ru/document/cons_doc_LAW_388926/fc5809ef5588b4cf9720e8f06229a67093c06389/%23dst2520"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пунктами 1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</w:t>
      </w:r>
      <w:r>
        <w:fldChar w:fldCharType="begin"/>
      </w:r>
      <w:r>
        <w:rPr/>
        <w:instrText> HYPERLINK "http://www.consultant.ru/document/cons_doc_LAW_388926/fc5809ef5588b4cf9720e8f06229a67093c06389/%23dst2527"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8 части 12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"http://www.consultant.ru/document/cons_doc_LAW_388926/fc5809ef5588b4cf9720e8f06229a67093c06389/%23dst2527"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статьи 48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описанию объекта закупки и инструкции по заполнению заявки следует, что участник закупки указывает в заявке конкретное значение характеристики зольности угля большее либо равное 15%.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Участником закупки №71 по характеристике «зольность» указано «14,6%», что менее 15% и, соответственно, недопустимо согласно инструкции по заполнению заявки.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действия членов комиссии уполномоченного учреждения по отклонению заявки участника закупки с заявкой №71 соответствуют требованиям части 12 статьи 48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Законодательство о контрактной системе не наделяет и не дает права членам аукционной комиссии давать оценку установленным заказчиком требованиям на их объективность, обоснованность, совместимость, взаимозаменяемость, то есть комиссия, фактически, сравнивает показатели, содержащиеся в заявке участника закупки, с требованиями, установленными в извещении о закупке с учетом инструкции. При этом в силу требований статьи 105 Закона о контрактной системе обжалование положений извещения об осуществлении закупки возможно только до окончания срока подачи заявок (т.е. до 23.09.2024 07:00).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Поскольку указанный в заявке №71 товар не соответствует требованиям извещения о закупке (содержит не соответствующий извещению показатель зольности угля по установленным заказчиком требованиям), Комиссия считает действия комиссии уполномоченного учреждения по отклонению заявки правомерными.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изложенного, руководствуясь Постановлением Правительства Российской Федерации от 26.08. 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 Закона о контрактной системе, комиссия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  <w:bookmarkEnd w:id="1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ООО Фирма «Кварц»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" w:right="540" w:bottom="1183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5300" distB="234315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495300</wp:posOffset>
                </wp:positionV>
                <wp:extent cx="1572895" cy="21971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pt;margin-top:39.pt;width:123.85000000000001pt;height:17.300000000000001pt;z-index:-125829375;mso-wrap-distance-left:0;mso-wrap-distance-top:39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86740" distB="0" distL="0" distR="1807210" simplePos="0" relativeHeight="125829380" behindDoc="0" locked="0" layoutInCell="1" allowOverlap="1">
            <wp:simplePos x="0" y="0"/>
            <wp:positionH relativeFrom="page">
              <wp:posOffset>2680970</wp:posOffset>
            </wp:positionH>
            <wp:positionV relativeFrom="paragraph">
              <wp:posOffset>586740</wp:posOffset>
            </wp:positionV>
            <wp:extent cx="311150" cy="36576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656590</wp:posOffset>
                </wp:positionV>
                <wp:extent cx="1725295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05000000000001pt;margin-top:51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95300" distB="234315" distL="0" distR="0" simplePos="0" relativeHeight="125829381" behindDoc="0" locked="0" layoutInCell="1" allowOverlap="1">
                <wp:simplePos x="0" y="0"/>
                <wp:positionH relativeFrom="page">
                  <wp:posOffset>6378575</wp:posOffset>
                </wp:positionH>
                <wp:positionV relativeFrom="paragraph">
                  <wp:posOffset>495300</wp:posOffset>
                </wp:positionV>
                <wp:extent cx="810895" cy="2197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089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М.Б. Гойгов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2.25pt;margin-top:39.pt;width:63.850000000000001pt;height:17.300000000000001pt;z-index:-125829372;mso-wrap-distance-left:0;mso-wrap-distance-top:39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М.Б. Гойгов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20" w:right="0" w:firstLine="0"/>
        <w:jc w:val="left"/>
        <w:rPr>
          <w:sz w:val="11"/>
          <w:szCs w:val="11"/>
        </w:rPr>
      </w:pPr>
      <w:r>
        <w:rPr>
          <w:b/>
          <w:bCs/>
          <w:color w:val="E4E4E4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b/>
          <w:bCs/>
          <w:color w:val="E4E4E4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Гойгов Микаил Багаудинович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0098ВС52Е002В9Е433809ЕА609В1</w:t>
      </w:r>
      <w:r>
        <w:rPr>
          <w:rFonts w:ascii="Arial" w:eastAsia="Arial" w:hAnsi="Arial" w:cs="Arial"/>
          <w:color w:val="97979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</w:t>
      </w:r>
      <w:r>
        <w:rPr>
          <w:rFonts w:ascii="Arial" w:eastAsia="Arial" w:hAnsi="Arial" w:cs="Arial"/>
          <w:color w:val="25252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Е9В58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5252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22.08.2023 </w:t>
      </w:r>
      <w:r>
        <w:rPr>
          <w:rFonts w:ascii="Arial" w:eastAsia="Arial" w:hAnsi="Arial" w:cs="Arial"/>
          <w:color w:val="25252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14.11.2024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2160" w:right="0" w:firstLine="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2644140</wp:posOffset>
            </wp:positionH>
            <wp:positionV relativeFrom="paragraph">
              <wp:posOffset>50800</wp:posOffset>
            </wp:positionV>
            <wp:extent cx="365760" cy="40259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6576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11.2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 С. Китаева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1"/>
          <w:szCs w:val="11"/>
        </w:rPr>
      </w:pP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Китаева Ирина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009ААВЕ65767Е2707С2СЕ6А900844Е2СБ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14.11.2023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06.02.2025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216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461010</wp:posOffset>
                </wp:positionV>
                <wp:extent cx="1283335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4E4E4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E4E4E4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65000000000001pt;margin-top:36.300000000000004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4E4E4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E4E4E4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В.В. Еремина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25252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57575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Еремина Виктория Васильевна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57575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250В516ОС57В06В1ВОС0633СА5217582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57575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03.10.2023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26.12.2024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10005695</wp:posOffset>
              </wp:positionV>
              <wp:extent cx="63690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2024-5171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99999999999999pt;margin-top:787.85000000000002pt;width:50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2024-5171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2024-5171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2024-5171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1">
    <w:name w:val="Заголовок №3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0">
    <w:name w:val="Заголовок №3"/>
    <w:basedOn w:val="Normal"/>
    <w:link w:val="CharStyle21"/>
    <w:pPr>
      <w:widowControl w:val="0"/>
      <w:shd w:val="clear" w:color="auto" w:fill="auto"/>
      <w:spacing w:after="8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