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1779270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792480" distL="114300" distR="132715" simplePos="0" relativeHeight="125829379" behindDoc="0" locked="0" layoutInCell="1" allowOverlap="1">
                <wp:simplePos x="0" y="0"/>
                <wp:positionH relativeFrom="page">
                  <wp:posOffset>727710</wp:posOffset>
                </wp:positionH>
                <wp:positionV relativeFrom="paragraph">
                  <wp:posOffset>728980</wp:posOffset>
                </wp:positionV>
                <wp:extent cx="2578735" cy="1752600"/>
                <wp:wrapSquare wrapText="right"/>
                <wp:docPr id="3" name="Shape 3"/>
                <a:graphic xmlns:a="http://schemas.openxmlformats.org/drawingml/2006/main">
                  <a:graphicData uri="http://schemas.microsoft.com/office/word/2010/wordprocessingShape">
                    <wps:wsp>
                      <wps:cNvSpPr txBox="1"/>
                      <wps:spPr>
                        <a:xfrm>
                          <a:ext cx="2578735" cy="175260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5"/>
                              <w:keepNext w:val="0"/>
                              <w:keepLines w:val="0"/>
                              <w:widowControl w:val="0"/>
                              <w:shd w:val="clear" w:color="auto" w:fill="auto"/>
                              <w:tabs>
                                <w:tab w:leader="underscore" w:pos="1762" w:val="left"/>
                                <w:tab w:leader="underscore" w:pos="3926" w:val="left"/>
                              </w:tabs>
                              <w:bidi w:val="0"/>
                              <w:spacing w:before="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300000000000004pt;margin-top:57.399999999999999pt;width:203.05000000000001pt;height:138.pt;z-index:-125829374;mso-wrap-distance-left:9.pt;mso-wrap-distance-top:56.399999999999999pt;mso-wrap-distance-right:10.450000000000001pt;mso-wrap-distance-bottom:62.39999999999999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5"/>
                        <w:keepNext w:val="0"/>
                        <w:keepLines w:val="0"/>
                        <w:widowControl w:val="0"/>
                        <w:shd w:val="clear" w:color="auto" w:fill="auto"/>
                        <w:tabs>
                          <w:tab w:leader="underscore" w:pos="1762" w:val="left"/>
                          <w:tab w:leader="underscore" w:pos="3926" w:val="left"/>
                        </w:tabs>
                        <w:bidi w:val="0"/>
                        <w:spacing w:before="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ab/>
                        <w:t xml:space="preserve"> №</w:t>
                        <w:tab/>
                      </w:r>
                    </w:p>
                  </w:txbxContent>
                </v:textbox>
                <w10:wrap type="square" side="right" anchorx="page"/>
              </v:shape>
            </w:pict>
          </mc:Fallback>
        </mc:AlternateContent>
      </w:r>
      <w:r>
        <w:drawing>
          <wp:anchor distT="3081020" distB="0" distL="117475" distR="114300" simplePos="0" relativeHeight="125829381" behindDoc="0" locked="0" layoutInCell="1" allowOverlap="1">
            <wp:simplePos x="0" y="0"/>
            <wp:positionH relativeFrom="page">
              <wp:posOffset>730885</wp:posOffset>
            </wp:positionH>
            <wp:positionV relativeFrom="paragraph">
              <wp:posOffset>3093720</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727710</wp:posOffset>
                </wp:positionH>
                <wp:positionV relativeFrom="paragraph">
                  <wp:posOffset>2658110</wp:posOffset>
                </wp:positionV>
                <wp:extent cx="2578735" cy="130810"/>
                <wp:wrapNone/>
                <wp:docPr id="7" name="Shape 7"/>
                <a:graphic xmlns:a="http://schemas.openxmlformats.org/drawingml/2006/main">
                  <a:graphicData uri="http://schemas.microsoft.com/office/word/2010/wordprocessingShape">
                    <wps:wsp>
                      <wps:cNvSpPr txBox="1"/>
                      <wps:spPr>
                        <a:xfrm>
                          <a:ext cx="2578735" cy="130810"/>
                        </a:xfrm>
                        <a:prstGeom prst="rect"/>
                        <a:noFill/>
                      </wps:spPr>
                      <wps:txbx>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wps:txbx>
                      <wps:bodyPr lIns="0" tIns="0" rIns="0" bIns="0">
                        <a:noAutoFit/>
                      </wps:bodyPr>
                    </wps:wsp>
                  </a:graphicData>
                </a:graphic>
              </wp:anchor>
            </w:drawing>
          </mc:Choice>
          <mc:Fallback>
            <w:pict>
              <v:shape id="_x0000_s1033" type="#_x0000_t202" style="position:absolute;margin-left:57.300000000000004pt;margin-top:209.30000000000001pt;width:203.05000000000001pt;height:10.300000000000001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txbxContent>
                </v:textbox>
                <w10:wrap anchorx="page"/>
              </v:shape>
            </w:pict>
          </mc:Fallback>
        </mc:AlternateConten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ООО «Прайм»</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пер. Кирпичный, зд. 27 А, помещ. 1, г. Елец, Липецкая область, 399772</w:t>
      </w:r>
    </w:p>
    <w:p>
      <w:pPr>
        <w:pStyle w:val="Style10"/>
        <w:keepNext w:val="0"/>
        <w:keepLines w:val="0"/>
        <w:widowControl w:val="0"/>
        <w:shd w:val="clear" w:color="auto" w:fill="auto"/>
        <w:bidi w:val="0"/>
        <w:spacing w:before="0" w:after="240" w:line="240" w:lineRule="auto"/>
        <w:ind w:left="1020" w:right="0" w:firstLine="0"/>
        <w:jc w:val="left"/>
      </w:pPr>
      <w:r>
        <w:rPr>
          <w:color w:val="000000"/>
          <w:spacing w:val="0"/>
          <w:w w:val="100"/>
          <w:position w:val="0"/>
          <w:sz w:val="24"/>
          <w:szCs w:val="24"/>
          <w:shd w:val="clear" w:color="auto" w:fill="auto"/>
          <w:lang w:val="ru-RU" w:eastAsia="ru-RU" w:bidi="ru-RU"/>
        </w:rPr>
        <w:t>рга11п.20)20)@1па11.Г11</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Агентство государственного заказа</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Красноярского края</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пр-т Мира, д. 10, оф. 53, г. Красноярск, 660049</w:t>
      </w:r>
    </w:p>
    <w:p>
      <w:pPr>
        <w:pStyle w:val="Style10"/>
        <w:keepNext w:val="0"/>
        <w:keepLines w:val="0"/>
        <w:widowControl w:val="0"/>
        <w:shd w:val="clear" w:color="auto" w:fill="auto"/>
        <w:bidi w:val="0"/>
        <w:spacing w:before="0" w:after="240" w:line="240" w:lineRule="auto"/>
        <w:ind w:left="1020" w:right="0" w:firstLine="0"/>
        <w:jc w:val="left"/>
      </w:pPr>
      <w:r>
        <w:rPr>
          <w:color w:val="000000"/>
          <w:spacing w:val="0"/>
          <w:w w:val="100"/>
          <w:position w:val="0"/>
          <w:sz w:val="24"/>
          <w:szCs w:val="24"/>
          <w:shd w:val="clear" w:color="auto" w:fill="auto"/>
          <w:lang w:val="ru-RU" w:eastAsia="ru-RU" w:bidi="ru-RU"/>
        </w:rPr>
        <w:t>адх_рпет@таП.ш; адх_ЬаиНпа@таП.ш</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КГБУЗ «Краевая клиническая больница»</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ул. П. Железняка, 3а, к. А, г. Красноярск, 660022</w:t>
      </w:r>
    </w:p>
    <w:p>
      <w:pPr>
        <w:pStyle w:val="Style10"/>
        <w:keepNext w:val="0"/>
        <w:keepLines w:val="0"/>
        <w:widowControl w:val="0"/>
        <w:shd w:val="clear" w:color="auto" w:fill="auto"/>
        <w:bidi w:val="0"/>
        <w:spacing w:before="0" w:after="240" w:line="240" w:lineRule="auto"/>
        <w:ind w:left="1020" w:right="0" w:firstLine="0"/>
        <w:jc w:val="left"/>
      </w:pPr>
      <w:r>
        <w:rPr>
          <w:color w:val="000000"/>
          <w:spacing w:val="0"/>
          <w:w w:val="100"/>
          <w:position w:val="0"/>
          <w:sz w:val="24"/>
          <w:szCs w:val="24"/>
          <w:shd w:val="clear" w:color="auto" w:fill="auto"/>
          <w:lang w:val="ru-RU" w:eastAsia="ru-RU" w:bidi="ru-RU"/>
        </w:rPr>
        <w:t>ккЬ@теддогод.ги; хакирИ@теддогод.ш</w:t>
      </w:r>
    </w:p>
    <w:p>
      <w:pPr>
        <w:pStyle w:val="Style10"/>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ЭТП Газпромбанк</w:t>
      </w:r>
    </w:p>
    <w:p>
      <w:pPr>
        <w:pStyle w:val="Style10"/>
        <w:keepNext w:val="0"/>
        <w:keepLines w:val="0"/>
        <w:widowControl w:val="0"/>
        <w:shd w:val="clear" w:color="auto" w:fill="auto"/>
        <w:bidi w:val="0"/>
        <w:spacing w:before="0" w:after="840" w:line="240" w:lineRule="auto"/>
        <w:ind w:left="5340" w:right="0" w:firstLine="0"/>
        <w:jc w:val="both"/>
      </w:pPr>
      <w:r>
        <w:rPr>
          <w:color w:val="000000"/>
          <w:spacing w:val="0"/>
          <w:w w:val="100"/>
          <w:position w:val="0"/>
          <w:sz w:val="24"/>
          <w:szCs w:val="24"/>
          <w:shd w:val="clear" w:color="auto" w:fill="auto"/>
          <w:lang w:val="ru-RU" w:eastAsia="ru-RU" w:bidi="ru-RU"/>
        </w:rPr>
        <w:t>тГо@е1рдрЬ.ш</w:t>
      </w:r>
    </w:p>
    <w:p>
      <w:pPr>
        <w:pStyle w:val="Style10"/>
        <w:keepNext w:val="0"/>
        <w:keepLines w:val="0"/>
        <w:widowControl w:val="0"/>
        <w:shd w:val="clear" w:color="auto" w:fill="auto"/>
        <w:bidi w:val="0"/>
        <w:spacing w:before="0" w:after="300" w:line="240" w:lineRule="auto"/>
        <w:ind w:left="0" w:right="0" w:firstLine="0"/>
        <w:jc w:val="center"/>
      </w:pPr>
      <w:r>
        <w:rPr>
          <w:color w:val="000000"/>
          <w:spacing w:val="0"/>
          <w:w w:val="100"/>
          <w:position w:val="0"/>
          <w:sz w:val="24"/>
          <w:szCs w:val="24"/>
          <w:shd w:val="clear" w:color="auto" w:fill="auto"/>
          <w:lang w:val="ru-RU" w:eastAsia="ru-RU" w:bidi="ru-RU"/>
        </w:rPr>
        <w:t>Решение № 024/06/106-3031/2024</w:t>
      </w:r>
    </w:p>
    <w:p>
      <w:pPr>
        <w:pStyle w:val="Style10"/>
        <w:keepNext w:val="0"/>
        <w:keepLines w:val="0"/>
        <w:widowControl w:val="0"/>
        <w:shd w:val="clear" w:color="auto" w:fill="auto"/>
        <w:tabs>
          <w:tab w:pos="8770"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2 октября 2024 года</w:t>
        <w:tab/>
        <w:t>г. Красноярск</w:t>
      </w:r>
    </w:p>
    <w:p>
      <w:pPr>
        <w:pStyle w:val="Style10"/>
        <w:keepNext w:val="0"/>
        <w:keepLines w:val="0"/>
        <w:widowControl w:val="0"/>
        <w:shd w:val="clear" w:color="auto" w:fill="auto"/>
        <w:tabs>
          <w:tab w:pos="4411" w:val="left"/>
          <w:tab w:pos="7982" w:val="left"/>
          <w:tab w:pos="8995"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Красноярского УФАС России по контролю в сфере закупок в составе: Председатель Комиссии - М.А.</w:t>
        <w:tab/>
        <w:t>Грицай, начальник отдела,</w:t>
        <w:tab/>
        <w:t>члены</w:t>
        <w:tab/>
        <w:t>Комиссии:</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Е.А. Шмыгина, заместитель начальника отдела, А.А. Грузиненко, ведущий специалист-эксперт (далее - Комиссия), рассмотрев жалобу ООО «Прайм» (далее - податель жалобы) на действия комиссии по осуществлению закупок уполномоченного органа - Агентства государственного заказа Красноярского края (далее - уполномоченный орган) и заказчика - Краевого государственного бюджетного учреждения здравоохранения «Краевая клиническая больница» (далее - заказчик) (далее - аукционная комиссия) при проведении аукциона в электронной форме ЭА-№-15331/24 «Электронный аукцион на право заключения контракта на поставку медицинских изделий «Шприц общего назначения»» (далее - электронный аукцион, закупка), извещение № 0119200000124014975 на электронной торговой площадке ЭТП ТЭК-Торг (далее - оператор электронной площадки), установила следующее.</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Существо жалобы: нарушение аукционной комиссией порядка рассмотрения заявок участников электронного аукциона, предусмотренного Федеральным законом от 05.04.2013 № 44- 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Жалоба подана в Красноярское УФАС России в срок, установленный частью 2 статьи 105 Закона о контрактной системе, соответствовала требованиям статьи 105 указанного закона, в связи с чем подлежала принятию к рассмотрению.</w:t>
      </w:r>
    </w:p>
    <w:p>
      <w:pPr>
        <w:pStyle w:val="Style10"/>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адрес заказчика, уполномоченного органа, подателя жалобы, оператора электронной площадки было направлено уведомление о содержании жалобы с информацией о месте и времени ее рассмотрения.</w:t>
      </w:r>
    </w:p>
    <w:p>
      <w:pPr>
        <w:pStyle w:val="Style10"/>
        <w:keepNext w:val="0"/>
        <w:keepLines w:val="0"/>
        <w:widowControl w:val="0"/>
        <w:shd w:val="clear" w:color="auto" w:fill="auto"/>
        <w:bidi w:val="0"/>
        <w:spacing w:before="0" w:after="300" w:line="240" w:lineRule="auto"/>
        <w:ind w:left="0" w:right="0" w:firstLine="600"/>
        <w:jc w:val="both"/>
      </w:pPr>
      <w:r>
        <w:rPr>
          <w:color w:val="000000"/>
          <w:spacing w:val="0"/>
          <w:w w:val="100"/>
          <w:position w:val="0"/>
          <w:sz w:val="24"/>
          <w:szCs w:val="24"/>
          <w:shd w:val="clear" w:color="auto" w:fill="auto"/>
          <w:lang w:val="ru-RU" w:eastAsia="ru-RU" w:bidi="ru-RU"/>
        </w:rPr>
        <w:t>На заседании Комиссии по рассмотрению жалобы по существу лично присутствовали представители уполномоченного органа, заказчика, надлежащим образом подтвердившие свои</w:t>
      </w:r>
    </w:p>
    <w:p>
      <w:pPr>
        <w:pStyle w:val="Style15"/>
        <w:keepNext/>
        <w:keepLines/>
        <w:widowControl w:val="0"/>
        <w:shd w:val="clear" w:color="auto" w:fill="auto"/>
        <w:bidi w:val="0"/>
        <w:spacing w:before="0" w:after="0" w:line="240" w:lineRule="auto"/>
        <w:ind w:left="0" w:right="0" w:firstLine="0"/>
        <w:jc w:val="both"/>
        <w:rPr>
          <w:sz w:val="24"/>
          <w:szCs w:val="24"/>
        </w:rPr>
      </w:pPr>
      <w:bookmarkStart w:id="0" w:name="bookmark0"/>
      <w:r>
        <w:rPr>
          <w:color w:val="000000"/>
          <w:spacing w:val="0"/>
          <w:w w:val="100"/>
          <w:position w:val="0"/>
          <w:sz w:val="48"/>
          <w:szCs w:val="48"/>
          <w:shd w:val="clear" w:color="auto" w:fill="auto"/>
          <w:lang w:val="ru-RU" w:eastAsia="ru-RU" w:bidi="ru-RU"/>
        </w:rPr>
        <w:t>ПНИ IIIIIIII1111IIIIII</w:t>
      </w:r>
      <w:bookmarkEnd w:id="0"/>
      <w:r>
        <w:rPr>
          <w:color w:val="000000"/>
          <w:spacing w:val="0"/>
          <w:w w:val="100"/>
          <w:position w:val="0"/>
          <w:sz w:val="48"/>
          <w:szCs w:val="48"/>
          <w:shd w:val="clear" w:color="auto" w:fill="auto"/>
          <w:lang w:val="ru-RU" w:eastAsia="ru-RU" w:bidi="ru-RU"/>
        </w:rPr>
        <w:t xml:space="preserve"> </w:t>
      </w:r>
      <w:r>
        <w:rPr>
          <w:rStyle w:val="CharStyle11"/>
        </w:rPr>
        <w:t>личности и полномочия. Также в указанном заседании Комиссии с использованием системы видео</w:t>
        <w:softHyphen/>
        <w:t>конференц-связи принял участие представитель подателя жалобы, надлежащим образом подтвердивший свои личность и полномочия.</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 доводов жалобы следует, что, по мнению подателя жалобы, аукционной комиссией было принято неправомерное решение об отказе подателю жалобы, подавшему заявку № 41, в допуске к участию в электронной процедуре по причине того, что участник закупки не подтвердил свое соответствие требованиям, установленным в соответствии с частью 2 статьи 31 Закона о контрактной системе, Постановлением Правительства Российской Федерации от 29.12.2021 № 2571, поскольку представил государственный контракт № 7/ЗА(Э)/2020/ДГЗ/З от 09.01.2020, который исполнен по истечении трех лет до даты подачи заявки на участие в закупке.</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Податель жалобы считает решение аукционной комиссии об отклонении заявки общества по указанным основаниям неправомерным, поскольку в подтверждение соответствия установленным требованиям им представлен государственный контракт № 7/ЗА(Э)/2020/ДГЗ/З от 09.01.2020 на поставку устройства для вливания кровезаменителей и инфузионных растворов, стерильного, по цене 54 051 971,15 руб. В рамках исполнения обязательств по контракту сторонами в качестве актов приемки поставленных товаров подписаны товарные накладные, которые размещены на электронной торговой площадке в рамках подтверждения соответствия участника дополнительным требованиям части 2.1 статьи 31 Закона о контрактной системе. Последний акт приемки поставленных товаров (товарная накладная) подписан сторонами 31.08.2021. Соответствие участника дополнительным требованиям оператором торговой площадки подтверждено.</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этом податель жалобы отметил, что исполнение контракта включает в себя комплекс мер включающих в себя приемку поставленного товара и оплату заказчиком поставщику поставленного товара. В том числе Минфин России в письме от 01.09.2022 № 24-06-06/85201 разъяснил, что подтверждением соответствия дополнительному требованию о наличии опыта у участника закупки является исполненный участником закупки контракт. Государственный или муниципальный контракт, как и любой договор, будет считаться исполненным после выполнения своих обязательств сторонами в полном объеме. В свою очередь полное выполнение сторонами взятых на себя обязательств по договору (контракту) включает в себя приемку товара и его оплату заказчиком.</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Податель жалобы пояснил, что заказчик по контракту № 7/ЗА(Э)/2020/ДГЗ/З от 09.01.2020 произвел последний платёж за поставленный товар 20.10.2021, что подтверждается актом сверки расчётов и платежными поручениями, которые приложены к жалобе, тем самым податель жалобы считает, что по состоянию на 19.09.2024 (дата подачи заявки на участие в закупке) не истёк трехгодичный срок с момента исполнения контракта № 7/ЗА(Э)/2020/ДГЗ/З от 09.01.2020 в полном объеме, следовательно, решение аукционной комиссии об отклонении заявки общества по основаниям указанным в протоколе подведения итогов является неправомерным.</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 моменту проведения заседания Комиссии по рассмотрению жалобы по существу уполномоченным органом, заказчиком были представлены письменные возражения в отношении вышеуказанных доводов подателя жалобы с указанием на соответствие оспариваемых действий аукционной комиссии требованиям законодательства о контрактной системе в сфере закупок.</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0"/>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связи с возникшей у заказчика потребностью уполномоченным органом были совершены действия по проведению аукциона на поставку медицинских изделий «Шприц общего назначения», с установлением начальной (максимальной) цены контракта в размере 28 087 500,00 рублей.</w:t>
      </w:r>
    </w:p>
    <w:p>
      <w:pPr>
        <w:pStyle w:val="Style10"/>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Пунктом 12 части 1 статьи 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пунктом 1 части 1 статьи 31 Закона о контрактной системе, требования, предъявляемые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pPr>
        <w:pStyle w:val="Style10"/>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В соответствии с частью 2.1 статьи 31 Закона о контрактной системе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2 статьи 31 Закона о контрактной системе) устанавливает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18.07.2011 №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p>
    <w:p>
      <w:pPr>
        <w:pStyle w:val="Style10"/>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Согласно части 3 статьи 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частях 2 и 2.1 статьи 31 Закона о контрактной системе, устанавливается Правительством Российской Федерации..</w:t>
      </w:r>
    </w:p>
    <w:p>
      <w:pPr>
        <w:pStyle w:val="Style10"/>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Частью 5 статьи 31 Закона о контрактной системе установлено, что информация об установленных требованиях в соответствии с частями 1, 1.1, 2 и 2.1 статьи 31 Закона о контрактной системе указывается заказчиком в извещении об осуществлении закупки и документации о закупке.</w:t>
      </w:r>
    </w:p>
    <w:p>
      <w:pPr>
        <w:pStyle w:val="Style10"/>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Во исполнение указанного требования Правительством РФ было принято постановление № 2571 от 29.12.2021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 2571).</w:t>
      </w:r>
    </w:p>
    <w:p>
      <w:pPr>
        <w:pStyle w:val="Style10"/>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На основании анализа положений извещения о проведении аукциона, сформированных с использованием ЕИС путем заполнения экранных форм веб-интерфейса ЕИС (часть 1 статьи 42 Закона о контрактной системе, пункт 3 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27.01.2022 № 60), а также путем прикрепления электронных документов (часть 2 статьи 42 Закона о контрактной системе, пункт 4 вышеуказанного Положения), Комиссия установила, что заказчиком, уполномоченным органом были определены требования к участникам закупки в соответствии с пунктом 4 Постановления № 2571.</w:t>
      </w:r>
    </w:p>
    <w:p>
      <w:pPr>
        <w:pStyle w:val="Style10"/>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Согласно пункту 4 Постановления № 2571 информацией и документами, подтверждающими соответствие участника закупки дополнительному требованию, установленному в соответствии с частью 2.1 статьи 31 Закона о контрактной системе, являются информация и документы, предусмотренные хотя бы одним из следующих подпунктов:</w:t>
      </w:r>
    </w:p>
    <w:p>
      <w:pPr>
        <w:pStyle w:val="Style10"/>
        <w:keepNext w:val="0"/>
        <w:keepLines w:val="0"/>
        <w:widowControl w:val="0"/>
        <w:numPr>
          <w:ilvl w:val="0"/>
          <w:numId w:val="1"/>
        </w:numPr>
        <w:shd w:val="clear" w:color="auto" w:fill="auto"/>
        <w:tabs>
          <w:tab w:pos="308" w:val="left"/>
        </w:tabs>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 xml:space="preserve">номер реестровой записи в предусмотренном Законом о контрактной системе реестре </w:t>
      </w:r>
      <w:r>
        <w:rPr>
          <w:color w:val="000000"/>
          <w:spacing w:val="0"/>
          <w:w w:val="100"/>
          <w:position w:val="0"/>
          <w:sz w:val="24"/>
          <w:szCs w:val="24"/>
          <w:shd w:val="clear" w:color="auto" w:fill="auto"/>
          <w:lang w:val="ru-RU" w:eastAsia="ru-RU" w:bidi="ru-RU"/>
        </w:rPr>
        <w:t>контрактов, заключенных заказчиками (в случае исполнения участником закупки контракта, информация и документы в отношении которого включены в установленном порядке в такой реестр и размещены на официальном сайте единой информационной системы в информационно</w:t>
        <w:softHyphen/>
        <w:t>телекоммуникационной сети «Интернет»);</w:t>
      </w:r>
    </w:p>
    <w:p>
      <w:pPr>
        <w:pStyle w:val="Style10"/>
        <w:keepNext w:val="0"/>
        <w:keepLines w:val="0"/>
        <w:widowControl w:val="0"/>
        <w:numPr>
          <w:ilvl w:val="0"/>
          <w:numId w:val="1"/>
        </w:numPr>
        <w:shd w:val="clear" w:color="auto" w:fill="auto"/>
        <w:tabs>
          <w:tab w:pos="101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выписка из предусмотренного Законом о контрактной системе реестра контрактов, содержащего сведения, составляющие государственную тайну (в случае исполнения участником закупки контракта, информация о котором включена в установленном порядке в такой реестр);</w:t>
      </w:r>
    </w:p>
    <w:p>
      <w:pPr>
        <w:pStyle w:val="Style10"/>
        <w:keepNext w:val="0"/>
        <w:keepLines w:val="0"/>
        <w:widowControl w:val="0"/>
        <w:numPr>
          <w:ilvl w:val="0"/>
          <w:numId w:val="1"/>
        </w:numPr>
        <w:shd w:val="clear" w:color="auto" w:fill="auto"/>
        <w:tabs>
          <w:tab w:pos="100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исполненный контракт, заключенный в соответствии с Законом о контрактной системе, или договор, заключенный в соответствии с Федеральным законом «О закупках товаров, работ, услуг отдельными видами юридических лиц», а также акт приемки поставленных товаров, выполненных работ, оказанных услуг, подтверждающий цену поставленных товаров, выполненных работ, оказанных услуг.</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Аналогичные требования установлены в электронном документе «Требования к содержанию и составу заявки на участие в аукционе».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отмечает, что рассматриваемые требования извещения о закупке по своему содержанию, во-первых, согласуются с требованиями части 2.1 статьи 31 Закона о контрактной системе, пункта 4 Постановления № 2571, во-вторых, содержат безусловное императивное требование о предоставлении именно исполненного в течение трех лет до даты подачи заявки на участие в закупке в полном объеме контракта или договора, в случае наличия рассматриваемого опыта.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3 части 6 статьи 43 Закона о контрактной системе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Закона о контрактной системе, и предусмотренные подпунктом «н» пункта 1 части 1 статьи 43 Закона о контрактной системе, не включаются участником закупки в заявку на участие в закупке. Такие документы в случаях, предусмотренных Законом о контрактной системе,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Комиссией установлено, что оператором электронной площадки были направлены сведения размещенные подателем жалобы в реестре участников закупок, аккредитованных на электронной площадке, в том числе, государственный контракт № 7/ЗА(Э)/2020/ДГЗ/З от 09.01.2020 на поставку устройства для вливания кровезаменителей и инфузионных растворов, стерильного, заключенного с Министерством обороны Российской Федерации в соответствии с Законом о контрактной системе, по цене 54 051 971,15 руб., а также товарные накладные. При этом последний акт приемки поставленных товаров (товарная накладная) подписан сторонами 31.08.2021.</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Проанализировав документы, представленные подателем жалобы в качестве подтверждения наличия необходимого опыта в соответствии с пунктом 4 Постановления № 2571, Комиссия установила, что государственный контракт № 7/ЗА(Э)/2020/ДГЗ/З от 09.01.2020 исполнен (в том смысле исполнения, который заложен законодателем в Постановлении № 2571) более, чем три года до даты подачи заявки на участие в закупке - 19.09.2024.</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этом податель жалобы в жалобе подтверждает тот факт, что последний акт приемки поставленных товаров (товарная накладная) в рамках рассматриваемого контракта подписан 31.08.2021. Также податель жалобы подтвердил Комиссии тот факт, что документы, подтверждающие осуществление заказчиком последнего платежа за поставленный товар в рамках исполнения контракта 20.10.2021, не были размещены в реестре участников закупки, аккредитованных на электронной площадке, и не требовались к такому размещению в силу пункта 4 Постановления № 2571.</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В отношении довода подателя жалобы о том, что исполнение контракта включает в себя комплекс мер включающих в себя приемку поставленного товара и оплату заказчиком поставщику поставленного товара, в том числе в отношении ссылки подателя жалобы на Письмо Минфина </w:t>
      </w:r>
      <w:r>
        <w:rPr>
          <w:color w:val="000000"/>
          <w:spacing w:val="0"/>
          <w:w w:val="100"/>
          <w:position w:val="0"/>
          <w:sz w:val="24"/>
          <w:szCs w:val="24"/>
          <w:shd w:val="clear" w:color="auto" w:fill="auto"/>
          <w:lang w:val="ru-RU" w:eastAsia="ru-RU" w:bidi="ru-RU"/>
        </w:rPr>
        <w:t>России от 01.09.2022 № 24-06-06/85201, согласно которому подтверждением соответствия дополнительному требованию о наличии опыта у участника закупки является исполненный участником закупки контракт, который будет считаться исполненным после выполнения своих обязательств сторонами в полном объеме, в том числе после приемки товара и его оплаты заказчиком, Комиссия сообщает следующее.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Письме Минфина России от 01.09.2022 № 24-06-06/85201 указано требование к документам для их последующего представления в качестве информации, подтверждающей соответствие участника закупки дополнительному требованию в соответствии с частью 2.1 статьи 31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этом дополнительным требованием в понимании части 2.1 статьи 31 Закона о контрактной системе, пункта 4 Постановления № 2571 является исполненный участником закупки (с учетом правопреемства) в течение трех лет до даты подачи заявки на участие в закупке контракт или договор именно в привязке к актам приемки поставленных товаров, выполненных работ, оказанных услуг.</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Кроме того, согласно Письму Минфина России от 01.09.2022 № 24-06-06/85201 «договор (контракт) должен быть заключен с участником закупки и исполнен участником закупки в полном объеме, то есть выполнение работ, оказание услуг по соответствующему договору (контракту) должно быть завершено, что будет являться подтверждением наличия опыта у конкретного лица, позволяющего сделать вывод об объеме выполненных работ, оказанных услуг непосредственно этим участником», а также «подтверждением соответствия участником закупки установленному заказчиком дополнительному требованию, предусмотренному частью 2.1 статьи 31 Закона о контрактной системе, будут являться информация или документы, указанные в одном из подпунктов, перечисленных в пункте 4 Постановления № 2571».</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Минфин России разъясняет порядок подтверждения участниками опыта в соответствии с Постановлением № 2571, при этом не делает вывод о необходимости анализа закупочными комиссиями при рассмотрении заявок на участие в закупках документов об оплате представленных участниками закупок договоров, контрактов.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отношении довода подателя жалобы о том, что соответствие участника дополнительным требованиям подтверждено оператором торговой площадки, Комиссия сообщает следующее.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2 части 13 статьи 24 Закона о контрактной системе основанием для решения об отказе участнику закупок оператором электронной площадки в размещении в реестре участников закупки, аккредитованных на электронной площадке, является несоответствие перечня представленных информации и документов, подтверждающих соответствие участников закупок дополнительным требованиям, либо нарушение порядка взаимодействия оператора и участника, утвержденного Постановлением Правительства РФ от 14.09.2019 № 1202. Таким образом, оператор электронной площадки проверяет исключительно перечень (комплектность) представленных документов и информации, а не их правовое содержание.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этом, в силу норм статьи 48 Закона о контрактной системе именно в полномочия комиссии по осуществлению закупок входит проверка указанной информации и документов на предмет соответствия требованиям извещения о проведении электронной процедуры и именно комиссия по осуществлению закупок наделена полномочиями на принятие решения об отклонении заявки на участие в закупке в случае несоответствия участника закупки дополнительным требованиям на основании пункта 3 части 12 статьи 48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Учитывая вышеизложенные обстоятельства, а также положения извещения о проведении аукциона, Закона о контрактной системе, Постановления № 2571, Комиссия приходит к выводу о том, что предоставленными документами податель жалобы не подтвердил наличие у него соответствующего опыта работ, поскольку, не предоставив исполненный в течение трех лет до даты подачи заявки на участие в закупке контракт или договор, податель жалобы не выполнил императивные требования извещения о проведении аукциона, Закона о контрактной системе, Постановления № 2571.</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Подпункт «а» пункта 1 части 11 статьи 48 Закона о контрактной системе устанавливает, что не позднее двух рабочих дней со дня, следующего за днем получения вторых частей заявок на </w:t>
      </w:r>
      <w:r>
        <w:rPr>
          <w:color w:val="000000"/>
          <w:spacing w:val="0"/>
          <w:w w:val="100"/>
          <w:position w:val="0"/>
          <w:sz w:val="24"/>
          <w:szCs w:val="24"/>
          <w:shd w:val="clear" w:color="auto" w:fill="auto"/>
          <w:lang w:val="ru-RU" w:eastAsia="ru-RU" w:bidi="ru-RU"/>
        </w:rPr>
        <w:t>участие в закупке, информации и документов в соответствии с пунктом 2 части 10 статьи 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Пункт 3 части 12 статьи 48 Закона о контрактной системе устанавливает, что при рассмотрении вторых частей заявок на участие в закупке соответствующая заявка подлежит отклонению в случаях несоответствия участника закупки требованиям, установленным в извещении об осуществлении закупки в соответствии с частью 1 статьи 31 Закона о контратакой системе, требованиям, установленным в извещении об осуществлении закупки в соответствии с частями 1.1, 2 и 2.1 (при наличии таких требований) статьи 31 Закона о контратакой системе.</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сведениям Протокола подведения итогов определения поставщика (подрядчика, исполнителя) от 23.09.2024 № ИЭА1 аукционной комиссией было принято решение об отклонении заявки (идентификационный номер 41) на участие в аукционе на основании пункта 3 части 12 статьи 48 Закона о контратакой системе, поскольку, при рассмотрении аукционной комиссией заявки на участие в аукционе, установлено, что участник не подтвердил свое соответствие требованиям, установленным в соответствии с частью 2 статьи 31 Закона о контрактной системе. В подтверждение соответствия вышеуказанным требованиям участником представлен контракт, который исполнен по истечению трех лет до даты подачи заявки на участие в закупке, что не соответствует требованиям Постановления № 2571, требованиям извещения, требованиям к содержанию и составу заявки на участие в закупке.</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Приняв указанное решение, аукционная комиссия не допустила нарушения требований Закона о контрактной системе, с учетом вышеизложенных в настоящем решении выводов Комиссии, основанных на непосредственном исследовании фактического содержания заявки подателя жалобы, документов, размещенных подателем жалобы в реестре участников закупок, аккредитованных на электронной площадке, в качестве подтверждения наличия опыта в соответствии с пунктом 4 Постановления № 2571, и сопоставлении такого содержания с требованиями извещения о проведении аукциона.</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Таким образом, заявка подателя жалобы подлежала отклонению, вследствие чего доводы жалобы не находят своего подтверждения при рассмотрении жалобы по существу.</w:t>
      </w:r>
    </w:p>
    <w:p>
      <w:pPr>
        <w:pStyle w:val="Style10"/>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частями 3, 15 статьи 99, частью 8 статьи 106 Закона о контрактной системе Комиссия Красноярского УФАС России решила признать жалобу ООО «Прайм» необоснованной.</w:t>
      </w:r>
    </w:p>
    <w:p>
      <w:pPr>
        <w:pStyle w:val="Style10"/>
        <w:keepNext w:val="0"/>
        <w:keepLines w:val="0"/>
        <w:widowControl w:val="0"/>
        <w:shd w:val="clear" w:color="auto" w:fill="auto"/>
        <w:bidi w:val="0"/>
        <w:spacing w:before="0" w:after="240" w:line="240" w:lineRule="auto"/>
        <w:ind w:left="0" w:right="0" w:firstLine="840"/>
        <w:jc w:val="both"/>
      </w:pPr>
      <w:r>
        <w:rPr>
          <w:color w:val="000000"/>
          <w:spacing w:val="0"/>
          <w:w w:val="100"/>
          <w:position w:val="0"/>
          <w:sz w:val="24"/>
          <w:szCs w:val="24"/>
          <w:shd w:val="clear" w:color="auto" w:fill="auto"/>
          <w:lang w:val="ru-RU" w:eastAsia="ru-RU" w:bidi="ru-RU"/>
        </w:rPr>
        <w:t>Решение может быть обжаловано в арбитражный суд в течение трех месяцев со дня его принятия.</w:t>
      </w:r>
    </w:p>
    <w:p>
      <w:pPr>
        <w:pStyle w:val="Style10"/>
        <w:keepNext w:val="0"/>
        <w:keepLines w:val="0"/>
        <w:widowControl w:val="0"/>
        <w:shd w:val="clear" w:color="auto" w:fill="auto"/>
        <w:tabs>
          <w:tab w:pos="8827" w:val="left"/>
        </w:tabs>
        <w:bidi w:val="0"/>
        <w:spacing w:before="0" w:after="52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М.А. Грицай</w:t>
      </w:r>
    </w:p>
    <w:p>
      <w:pPr>
        <w:pStyle w:val="Style10"/>
        <w:keepNext w:val="0"/>
        <w:keepLines w:val="0"/>
        <w:widowControl w:val="0"/>
        <w:shd w:val="clear" w:color="auto" w:fill="auto"/>
        <w:tabs>
          <w:tab w:pos="8486" w:val="left"/>
        </w:tabs>
        <w:bidi w:val="0"/>
        <w:spacing w:before="0" w:after="52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А.А. Грузиненко</w:t>
      </w:r>
    </w:p>
    <w:p>
      <w:pPr>
        <w:pStyle w:val="Style10"/>
        <w:keepNext w:val="0"/>
        <w:keepLines w:val="0"/>
        <w:widowControl w:val="0"/>
        <w:shd w:val="clear" w:color="auto" w:fill="auto"/>
        <w:bidi w:val="0"/>
        <w:spacing w:before="0" w:after="520" w:line="240" w:lineRule="auto"/>
        <w:ind w:left="0" w:right="0" w:firstLine="0"/>
        <w:jc w:val="right"/>
      </w:pPr>
      <w:r>
        <w:rPr>
          <w:color w:val="000000"/>
          <w:spacing w:val="0"/>
          <w:w w:val="100"/>
          <w:position w:val="0"/>
          <w:sz w:val="24"/>
          <w:szCs w:val="24"/>
          <w:shd w:val="clear" w:color="auto" w:fill="auto"/>
          <w:lang w:val="ru-RU" w:eastAsia="ru-RU" w:bidi="ru-RU"/>
        </w:rPr>
        <w:t>Е.А. Шмыгина</w:t>
      </w:r>
    </w:p>
    <w:sectPr>
      <w:footerReference w:type="default" r:id="rId9"/>
      <w:footerReference w:type="first" r:id="rId10"/>
      <w:footnotePr>
        <w:pos w:val="pageBottom"/>
        <w:numFmt w:val="decimal"/>
        <w:numRestart w:val="continuous"/>
      </w:footnotePr>
      <w:pgSz w:w="11900" w:h="16840"/>
      <w:pgMar w:top="1049" w:right="537" w:bottom="1172" w:left="1100"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10015855</wp:posOffset>
              </wp:positionV>
              <wp:extent cx="6470650" cy="103505"/>
              <wp:wrapNone/>
              <wp:docPr id="9" name="Shape 9"/>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12"/>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2024-16846</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 id="_x0000_s1035" type="#_x0000_t202" style="position:absolute;margin-left:56.950000000000003pt;margin-top:788.64999999999998pt;width:509.5pt;height:8.1500000000000004pt;z-index:-188744063;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2024-16846</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727710</wp:posOffset>
              </wp:positionH>
              <wp:positionV relativeFrom="page">
                <wp:posOffset>10012680</wp:posOffset>
              </wp:positionV>
              <wp:extent cx="725170" cy="100330"/>
              <wp:wrapNone/>
              <wp:docPr id="11" name="Shape 1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2024-16846</w:t>
                          </w:r>
                        </w:p>
                      </w:txbxContent>
                    </wps:txbx>
                    <wps:bodyPr wrap="none" lIns="0" tIns="0" rIns="0" bIns="0">
                      <a:spAutoFit/>
                    </wps:bodyPr>
                  </wps:wsp>
                </a:graphicData>
              </a:graphic>
            </wp:anchor>
          </w:drawing>
        </mc:Choice>
        <mc:Fallback>
          <w:pict>
            <v:shape id="_x0000_s1037" type="#_x0000_t202" style="position:absolute;margin-left:57.300000000000004pt;margin-top:788.39999999999998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2024-16846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4360A3"/>
      <w:sz w:val="18"/>
      <w:szCs w:val="18"/>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48"/>
      <w:szCs w:val="48"/>
      <w:u w:val="none"/>
    </w:rPr>
  </w:style>
  <w:style w:type="paragraph" w:customStyle="1" w:styleId="Style2">
    <w:name w:val="Основной текст (2)"/>
    <w:basedOn w:val="Normal"/>
    <w:link w:val="CharStyle3"/>
    <w:pPr>
      <w:widowControl w:val="0"/>
      <w:shd w:val="clear" w:color="auto" w:fill="auto"/>
      <w:spacing w:after="44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5">
    <w:name w:val="Основной текст (3)"/>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8">
    <w:name w:val="Подпись к картинке"/>
    <w:basedOn w:val="Normal"/>
    <w:link w:val="CharStyle9"/>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360A3"/>
      <w:sz w:val="18"/>
      <w:szCs w:val="18"/>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Заголовок №1"/>
    <w:basedOn w:val="Normal"/>
    <w:link w:val="CharStyle16"/>
    <w:pPr>
      <w:widowControl w:val="0"/>
      <w:shd w:val="clear" w:color="auto" w:fill="auto"/>
      <w:spacing w:after="260"/>
      <w:outlineLvl w:val="0"/>
    </w:pPr>
    <w:rPr>
      <w:rFonts w:ascii="Arial" w:eastAsia="Arial" w:hAnsi="Arial" w:cs="Arial"/>
      <w:b w:val="0"/>
      <w:bCs w:val="0"/>
      <w:i w:val="0"/>
      <w:iCs w:val="0"/>
      <w:smallCaps w:val="0"/>
      <w:strike w:val="0"/>
      <w:sz w:val="48"/>
      <w:szCs w:val="4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