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  <w:bookmarkEnd w:id="0"/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160000, г. Вологда, ул. Пушкинская, 25, тел. (8172)72-99-70; факс (8172)72-46-64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1о35@Га8.доу.ги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кНр://уо1о§&lt;1а.Га8.§оу.ги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Грушин А.А.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ПРОФЕССИОНАЛЬНОЕ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ОБРАЗОВАТЕЛЬНОЕ УЧРЕЖДЕНИЕ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"СОКОЛЬСКИЙ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ЛЕСОПРОМЫШЛЕННЫЙ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ПОЛИТЕХНИЧЕСКИЙ ТЕХНИКУМ"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 ВО «Центр закупок»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035/06/49-785/2024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tabs>
          <w:tab w:pos="817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октября 2024г.</w:t>
        <w:tab/>
        <w:t>г. Вологда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УФАС)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— начальник отдела контроля органов власти и закупок Управления Федеральной антимонопольной службы по Вологодской области, председатель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заместитель начальника отдела контроля органов власти и закупок Управления Федеральной антимонопольной службы по Вологодской области, член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ИП Грушина А.А. на действия (бездействие) комиссии по осуществлению закупки при проведении электронного аукциона на поставку продукции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радиоэлектронной промышленности: компьютеров и периферийного оборудования, реестровый номер извещения в ЕИС 0830500000224003780 (далее - аукцион, закупка),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 Заказчика, Уполномоченного органа,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40" w:line="266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25.09.2024 в Единой информационной системе в сфере закупок 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Ейр://гакирк1щоу.ги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(далее - ЕИС) размещена жалоба Заявителя на действия (бездействие) комиссии по осуществлению закупки,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 и соответствует требованиям, предусмотренным статьей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уведомлением о принятии жалобы к рассмотрению от 27.09.2024 рассмотрение жалобы назначено на 02.09.2024. Уведомление в соответствии с требованиями части 8 статьи 106 Закона о контрактной системе размещено в ЕИС.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Заявитель выражает несогласие с действиями Заказчика, комиссии по осуществлению закупки, принявшей ценовое предложение победителя закупки, которое является демпингом и нарушает права других участников, ограничивает конкуренцию.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представлены письменные возражения и документы, приобщенные к материалам настоящей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рассмотрев представленные материалы и документы, размещенные в ЕИС, в их совокупности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13.09.2024 ИС размещено извещение о проведении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 закупки - поставка продукции радиоэлектронной промышленности: компьютеров и периферийного оборудования.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- 3 192 000,00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- 23.09.2024.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проведения процедуры подачи предложений - 23.09.2024.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611505</wp:posOffset>
                </wp:positionH>
                <wp:positionV relativeFrom="paragraph">
                  <wp:posOffset>342900</wp:posOffset>
                </wp:positionV>
                <wp:extent cx="6487795" cy="184467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7795" cy="18446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25.09.2024 г. на сайте Единой информационной системы в сфере закупок (ЕИС) был размещен протокол подведения итогов определения поставщика по электронному аукциону от 13.09.2024 №0830500000224003780.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На участие в электронном аукционе на поставку продукции радиоэлектронной промышленности: компьютеров и периферийного оборудования поступило 8 заявок на участие в закупке, в том числе заявка ИП Грушина А.А. (идентификационный номер заявки, присвоенный оператором 117324991).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Комиссия по осуществлению закупки в сроки, установленные Федеральным законом, рассмотрела заявки на участие в закупке, информацию и документы, направленные оператором электронной площадки в соответствии с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пунктом 4 части 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 статьи 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8.149999999999999pt;margin-top:27.pt;width:510.85000000000002pt;height:145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25.09.2024 г. на сайте Единой информационной системы в сфере закупок (ЕИС) был размещен протокол подведения итогов определения поставщика по электронному аукциону от 13.09.2024 №0830500000224003780.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На участие в электронном аукционе на поставку продукции радиоэлектронной промышленности: компьютеров и периферийного оборудования поступило 8 заявок на участие в закупке, в том числе заявка ИП Грушина А.А. (идентификационный номер заявки, присвоенный оператором 117324991).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Комиссия по осуществлению закупки в сроки, установленные Федеральным законом, рассмотрела заявки на участие в закупке, информацию и документы, направленные оператором электронной площадки в соответствии с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ru-RU" w:eastAsia="ru-RU" w:bidi="ru-RU"/>
                        </w:rPr>
                        <w:t>пунктом 4 части 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 статьи 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- 25.09.2024.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Федерального закона и приняла решения, указанные в протоколе подведения итогов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определения поставщика.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заявки с идентификационными номерами, присвоенными оператором, 117302067 (ООО «СФЕРА»), 117324991 (ИП Грушин А.А.), 117296397 (ООО «ХИМАГРОТРЕЙД»), 117327597 (ООО «ВНВ КОНСАЛТИНГ»), 117296737 (ООО "ПК ТЕХНОМИКС"), 117321331 (ИП Ситников В.Д.) соответствуют извещению о проведении электронного аукциона, во всех заявках присутствует реестровая запись из единого реестра российской радиоэлектронной продукции, соответствующая объекту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заявки с идентификационными номерами, присвоенными оператором, 117325766 (ООО "КОМПТЕХ НН"), 117323871 (ООО «ЛАНКОМ») признаны несоответствующими извещению о проведении электронного аукциона и отклонены.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аукциона признано ООО «Сфера» (идентификационный номер заявки, присвоенный оператором 117302067).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предложенная победителем электронного аукциона составляет 2 074 800,00 руб., что на 35% ниже начальной (максимальной) цены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37 Закона о контрактной системе в случае если при проведении электронного аукциона начальная (максимальная) цена контракта составляет пятнадцать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Закона о контрактной системе, или информации, подтверждающей добросовестность такого участника в соответствии с частью 3 статьи 37 указанного закона, с одновременным предоставлением таким участником обеспечения исполнения контракта в размере обеспечения исполнения контракта, указанном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37 Закона о контрактной системе к информации, подтверждающей добросовестность участника закупки, относится информация, содержащаяся в реестре контрактов, заключенных заказчиками, и подтверждающая исполнение таким участником в течение трех лет до даты подачи заявки на участие в закупке трех контрактов (с учетом правопреемства), исполненных без применения к такому участнику неустоек (штрафов, пеней). При этом цена одного из таких контрактов должна составлять не менее чем двадцать процентов начальной (максимальной) цены контракта, указанной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Извещением о проведении электронного аукциона (подраздел «Порядок обеспечения исполнения контракта, требования к обеспечению» раздела «Обеспечение исполнения контракта») установлено, что «в случае, если предложенная в заявке участника закупки цена снижена на 25 и более % по отношению к НМЦК, участник закупки, с которым заключается контракт, предоставляет обеспечение исполнения контракта с учетом ст.37ФЗ».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проверка участника торгов на его добросовестность в соответствии с требованиями статьи 37 Закона о контрактной системе осуществляется на стадии заключения контракта, а не при рассмотрении заявок.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привел довода и обоснования наличия признаков нарушения со стороны заказчика и комиссии по осуществлению закупки. Доводы жалобы сводятся к возможным признакам нарушения антимонопольного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рассмотрения заявлений, материалов и возбуждения дела о нарушении антимонопольного законодательства установлен Федеральным законом от 26.07.2006 № 135- ФЗ «О защите конкуренции».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Комиссия УФАС, проанализировав довод Заявителя, возражения Заказчика и материалы жалобы в их совокупности, не установила в действиях (бездействии) Заказчика и комиссии по осуществлению закупки нарушений требований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Закона о контрактной системе Комиссия УФАС провела внеплановую проверку, по результатам которой нарушений при проведении закупки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УФАС, руководствуясь статьями 99, 106 Закона о контрактной системе,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12700</wp:posOffset>
                </wp:positionV>
                <wp:extent cx="125730" cy="173990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83.650000000000006pt;margin-top:1.pt;width:9.9000000000000004pt;height:13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1.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Грушина А.А. необоснованной.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приостановлении определения поставщика (подрядчика, исполнителя) в части подписания контракта, установленное Управлением па основании части. 7 статьи 106 Закона о контрактной системе, отменить.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33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УФАС: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540" w:right="0" w:firstLine="0"/>
        <w:jc w:val="left"/>
      </w:pPr>
      <w:r>
        <mc:AlternateContent>
          <mc:Choice Requires="wps">
            <w:drawing>
              <wp:anchor distT="0" distB="365760" distL="114300" distR="114300" simplePos="0" relativeHeight="125829382" behindDoc="0" locked="0" layoutInCell="1" allowOverlap="1">
                <wp:simplePos x="0" y="0"/>
                <wp:positionH relativeFrom="page">
                  <wp:posOffset>5400040</wp:posOffset>
                </wp:positionH>
                <wp:positionV relativeFrom="margin">
                  <wp:posOffset>1282700</wp:posOffset>
                </wp:positionV>
                <wp:extent cx="1174750" cy="18732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475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25.19999999999999pt;margin-top:101.pt;width:92.5pt;height:14.75pt;z-index:-125829371;mso-wrap-distance-left:9.pt;mso-wrap-distance-right:9.pt;mso-wrap-distance-bottom:28.8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65760" distB="0" distL="114300" distR="253365" simplePos="0" relativeHeight="125829384" behindDoc="0" locked="0" layoutInCell="1" allowOverlap="1">
                <wp:simplePos x="0" y="0"/>
                <wp:positionH relativeFrom="page">
                  <wp:posOffset>5400040</wp:posOffset>
                </wp:positionH>
                <wp:positionV relativeFrom="margin">
                  <wp:posOffset>1648460</wp:posOffset>
                </wp:positionV>
                <wp:extent cx="1035685" cy="18732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56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Шпякина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25.19999999999999pt;margin-top:129.80000000000001pt;width:81.549999999999997pt;height:14.75pt;z-index:-125829369;mso-wrap-distance-left:9.pt;mso-wrap-distance-top:28.800000000000001pt;mso-wrap-distance-right:19.9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Шпякина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3023235</wp:posOffset>
            </wp:positionH>
            <wp:positionV relativeFrom="margin">
              <wp:posOffset>758825</wp:posOffset>
            </wp:positionV>
            <wp:extent cx="2395855" cy="127381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95855" cy="12738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Косоногова</w:t>
      </w:r>
    </w:p>
    <w:sectPr>
      <w:footnotePr>
        <w:pos w:val="pageBottom"/>
        <w:numFmt w:val="decimal"/>
        <w:numRestart w:val="continuous"/>
      </w:footnotePr>
      <w:pgSz w:w="11900" w:h="16840"/>
      <w:pgMar w:top="979" w:right="698" w:bottom="941" w:left="942" w:header="551" w:footer="51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line="295" w:lineRule="auto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150"/>
      <w:ind w:left="251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