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60705" cy="63373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60705" cy="633730"/>
                    </a:xfrm>
                    <a:prstGeom prst="rect"/>
                  </pic:spPr>
                </pic:pic>
              </a:graphicData>
            </a:graphic>
          </wp:inline>
        </w:drawing>
      </w:r>
    </w:p>
    <w:p>
      <w:pPr>
        <w:widowControl w:val="0"/>
        <w:spacing w:after="79" w:line="1" w:lineRule="exact"/>
      </w:pPr>
    </w:p>
    <w:p>
      <w:pPr>
        <w:pStyle w:val="Style7"/>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ФЕДЕРАЛЬНАЯ</w:t>
      </w:r>
      <w:bookmarkEnd w:id="0"/>
    </w:p>
    <w:p>
      <w:pPr>
        <w:pStyle w:val="Style7"/>
        <w:keepNext/>
        <w:keepLines/>
        <w:widowControl w:val="0"/>
        <w:shd w:val="clear" w:color="auto" w:fill="auto"/>
        <w:bidi w:val="0"/>
        <w:spacing w:before="0" w:after="120" w:line="240" w:lineRule="auto"/>
        <w:ind w:left="0" w:right="0" w:firstLine="0"/>
        <w:jc w:val="center"/>
      </w:pPr>
      <w:r>
        <w:rPr>
          <w:color w:val="000000"/>
          <w:spacing w:val="0"/>
          <w:w w:val="100"/>
          <w:position w:val="0"/>
          <w:shd w:val="clear" w:color="auto" w:fill="auto"/>
          <w:lang w:val="ru-RU" w:eastAsia="ru-RU" w:bidi="ru-RU"/>
        </w:rPr>
        <w:t>АНТИМОНОПОЛЬНАЯ СЛУЖБА</w:t>
      </w:r>
    </w:p>
    <w:p>
      <w:pPr>
        <w:pStyle w:val="Style7"/>
        <w:keepNext/>
        <w:keepLines/>
        <w:widowControl w:val="0"/>
        <w:shd w:val="clear" w:color="auto" w:fill="auto"/>
        <w:bidi w:val="0"/>
        <w:spacing w:before="0" w:after="0" w:line="240" w:lineRule="auto"/>
        <w:ind w:left="0" w:right="0" w:firstLine="0"/>
        <w:jc w:val="center"/>
      </w:pPr>
      <w:bookmarkStart w:id="3" w:name="bookmark3"/>
      <w:r>
        <w:rPr>
          <w:color w:val="000000"/>
          <w:spacing w:val="0"/>
          <w:w w:val="100"/>
          <w:position w:val="0"/>
          <w:shd w:val="clear" w:color="auto" w:fill="auto"/>
          <w:lang w:val="ru-RU" w:eastAsia="ru-RU" w:bidi="ru-RU"/>
        </w:rPr>
        <w:t>УПРАВЛЕНИЕ</w:t>
      </w:r>
      <w:bookmarkEnd w:id="3"/>
    </w:p>
    <w:p>
      <w:pPr>
        <w:pStyle w:val="Style7"/>
        <w:keepNext/>
        <w:keepLines/>
        <w:widowControl w:val="0"/>
        <w:pBdr>
          <w:bottom w:val="single" w:sz="4" w:space="0" w:color="auto"/>
        </w:pBdr>
        <w:shd w:val="clear" w:color="auto" w:fill="auto"/>
        <w:bidi w:val="0"/>
        <w:spacing w:before="0" w:after="240" w:line="240" w:lineRule="auto"/>
        <w:ind w:left="0" w:right="0" w:firstLine="0"/>
        <w:jc w:val="center"/>
      </w:pPr>
      <w:bookmarkStart w:id="5" w:name="bookmark5"/>
      <w:r>
        <w:rPr>
          <w:color w:val="000000"/>
          <w:spacing w:val="0"/>
          <w:w w:val="100"/>
          <w:position w:val="0"/>
          <w:shd w:val="clear" w:color="auto" w:fill="auto"/>
          <w:lang w:val="ru-RU" w:eastAsia="ru-RU" w:bidi="ru-RU"/>
        </w:rPr>
        <w:t>Федеральной антимонопольной службы по Вологодской области</w:t>
      </w:r>
      <w:bookmarkEnd w:id="5"/>
    </w:p>
    <w:p>
      <w:pPr>
        <w:pStyle w:val="Style9"/>
        <w:keepNext w:val="0"/>
        <w:keepLines w:val="0"/>
        <w:widowControl w:val="0"/>
        <w:shd w:val="clear" w:color="auto" w:fill="auto"/>
        <w:bidi w:val="0"/>
        <w:spacing w:before="0" w:after="120" w:line="240" w:lineRule="auto"/>
        <w:ind w:left="43" w:right="0" w:firstLine="0"/>
        <w:jc w:val="left"/>
      </w:pPr>
      <w:r>
        <w:rPr>
          <w:color w:val="000000"/>
          <w:spacing w:val="0"/>
          <w:w w:val="100"/>
          <w:position w:val="0"/>
          <w:sz w:val="24"/>
          <w:szCs w:val="24"/>
          <w:shd w:val="clear" w:color="auto" w:fill="auto"/>
          <w:lang w:val="ru-RU" w:eastAsia="ru-RU" w:bidi="ru-RU"/>
        </w:rPr>
        <w:t>160035, г. Вологда, ул. Пушкинская, 25, тел. (8172) 72-99-70, факс (8172) 72-46-64</w:t>
      </w:r>
    </w:p>
    <w:p>
      <w:pPr>
        <w:pStyle w:val="Style9"/>
        <w:keepNext w:val="0"/>
        <w:keepLines w:val="0"/>
        <w:widowControl w:val="0"/>
        <w:shd w:val="clear" w:color="auto" w:fill="auto"/>
        <w:bidi w:val="0"/>
        <w:spacing w:before="0" w:after="0" w:line="240" w:lineRule="auto"/>
        <w:ind w:left="43" w:right="0" w:firstLine="0"/>
        <w:jc w:val="left"/>
      </w:pPr>
      <w:r>
        <w:rPr>
          <w:color w:val="000000"/>
          <w:spacing w:val="0"/>
          <w:w w:val="100"/>
          <w:position w:val="0"/>
          <w:sz w:val="24"/>
          <w:szCs w:val="24"/>
          <w:shd w:val="clear" w:color="auto" w:fill="auto"/>
          <w:lang w:val="ru-RU" w:eastAsia="ru-RU" w:bidi="ru-RU"/>
        </w:rPr>
        <w:t>е-таП:</w:t>
      </w:r>
      <w:r>
        <w:fldChar w:fldCharType="begin"/>
      </w:r>
      <w:r>
        <w:rPr/>
        <w:instrText> HYPERLINK "mailto:to35@fas.gov.ru" </w:instrText>
      </w:r>
      <w:r>
        <w:fldChar w:fldCharType="separate"/>
      </w:r>
      <w:r>
        <w:rPr>
          <w:color w:val="000000"/>
          <w:spacing w:val="0"/>
          <w:w w:val="100"/>
          <w:position w:val="0"/>
          <w:sz w:val="24"/>
          <w:szCs w:val="24"/>
          <w:shd w:val="clear" w:color="auto" w:fill="auto"/>
          <w:lang w:val="ru-RU" w:eastAsia="ru-RU" w:bidi="ru-RU"/>
        </w:rPr>
        <w:t xml:space="preserve"> </w:t>
      </w:r>
      <w:r>
        <w:rPr>
          <w:color w:val="0000FF"/>
          <w:spacing w:val="0"/>
          <w:w w:val="100"/>
          <w:position w:val="0"/>
          <w:sz w:val="24"/>
          <w:szCs w:val="24"/>
          <w:shd w:val="clear" w:color="auto" w:fill="auto"/>
          <w:lang w:val="ru-RU" w:eastAsia="ru-RU" w:bidi="ru-RU"/>
        </w:rPr>
        <w:t>1о35@|а8</w:t>
      </w:r>
      <w:r>
        <w:rPr>
          <w:color w:val="0000FF"/>
          <w:spacing w:val="0"/>
          <w:w w:val="100"/>
          <w:position w:val="0"/>
          <w:sz w:val="24"/>
          <w:szCs w:val="24"/>
          <w:shd w:val="clear" w:color="auto" w:fill="auto"/>
          <w:vertAlign w:val="subscript"/>
          <w:lang w:val="ru-RU" w:eastAsia="ru-RU" w:bidi="ru-RU"/>
        </w:rPr>
        <w:t>1</w:t>
      </w:r>
      <w:r>
        <w:rPr>
          <w:color w:val="0000FF"/>
          <w:spacing w:val="0"/>
          <w:w w:val="100"/>
          <w:position w:val="0"/>
          <w:sz w:val="24"/>
          <w:szCs w:val="24"/>
          <w:shd w:val="clear" w:color="auto" w:fill="auto"/>
          <w:lang w:val="ru-RU" w:eastAsia="ru-RU" w:bidi="ru-RU"/>
        </w:rPr>
        <w:t>доу</w:t>
      </w:r>
      <w:r>
        <w:rPr>
          <w:color w:val="0000FF"/>
          <w:spacing w:val="0"/>
          <w:w w:val="100"/>
          <w:position w:val="0"/>
          <w:sz w:val="24"/>
          <w:szCs w:val="24"/>
          <w:shd w:val="clear" w:color="auto" w:fill="auto"/>
          <w:vertAlign w:val="subscript"/>
          <w:lang w:val="ru-RU" w:eastAsia="ru-RU" w:bidi="ru-RU"/>
        </w:rPr>
        <w:t>1</w:t>
      </w:r>
      <w:r>
        <w:rPr>
          <w:color w:val="0000FF"/>
          <w:spacing w:val="0"/>
          <w:w w:val="100"/>
          <w:position w:val="0"/>
          <w:sz w:val="24"/>
          <w:szCs w:val="24"/>
          <w:shd w:val="clear" w:color="auto" w:fill="auto"/>
          <w:lang w:val="ru-RU" w:eastAsia="ru-RU" w:bidi="ru-RU"/>
        </w:rPr>
        <w:t>ги</w:t>
      </w:r>
      <w:r>
        <w:fldChar w:fldCharType="end"/>
      </w:r>
    </w:p>
    <w:tbl>
      <w:tblPr>
        <w:tblOverlap w:val="never"/>
        <w:jc w:val="center"/>
        <w:tblLayout w:type="fixed"/>
      </w:tblPr>
      <w:tblGrid>
        <w:gridCol w:w="3533"/>
        <w:gridCol w:w="6581"/>
      </w:tblGrid>
      <w:tr>
        <w:trPr>
          <w:trHeight w:val="4018" w:hRule="exact"/>
        </w:trPr>
        <w:tc>
          <w:tcPr>
            <w:tcBorders>
              <w:top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left"/>
            </w:pPr>
            <w:r>
              <w:fldChar w:fldCharType="begin"/>
            </w:r>
            <w:r>
              <w:rPr/>
              <w:instrText> HYPERLINK "http://vologda.fas.gov.ru/" </w:instrText>
            </w:r>
            <w:r>
              <w:fldChar w:fldCharType="separate"/>
            </w:r>
            <w:r>
              <w:rPr>
                <w:color w:val="0000FF"/>
                <w:spacing w:val="0"/>
                <w:w w:val="100"/>
                <w:position w:val="0"/>
                <w:sz w:val="24"/>
                <w:szCs w:val="24"/>
                <w:u w:val="single"/>
                <w:shd w:val="clear" w:color="auto" w:fill="auto"/>
                <w:lang w:val="ru-RU" w:eastAsia="ru-RU" w:bidi="ru-RU"/>
              </w:rPr>
              <w:t>Ь^^р://Vо1одда.Га8.доV.^и</w:t>
            </w:r>
            <w:r>
              <w:fldChar w:fldCharType="end"/>
            </w:r>
          </w:p>
        </w:tc>
        <w:tc>
          <w:tcPr>
            <w:tcBorders/>
            <w:shd w:val="clear" w:color="auto" w:fill="auto"/>
            <w:vAlign w:val="bottom"/>
          </w:tcPr>
          <w:p>
            <w:pPr>
              <w:pStyle w:val="Style12"/>
              <w:keepNext w:val="0"/>
              <w:keepLines w:val="0"/>
              <w:widowControl w:val="0"/>
              <w:shd w:val="clear" w:color="auto" w:fill="auto"/>
              <w:tabs>
                <w:tab w:pos="5738" w:val="left"/>
              </w:tabs>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Г</w:t>
              <w:tab/>
              <w:t>1</w:t>
            </w:r>
          </w:p>
          <w:p>
            <w:pPr>
              <w:pStyle w:val="Style12"/>
              <w:keepNext w:val="0"/>
              <w:keepLines w:val="0"/>
              <w:widowControl w:val="0"/>
              <w:shd w:val="clear" w:color="auto" w:fill="auto"/>
              <w:bidi w:val="0"/>
              <w:spacing w:before="0" w:after="0" w:line="180" w:lineRule="auto"/>
              <w:ind w:left="1320" w:right="0" w:firstLine="20"/>
              <w:jc w:val="left"/>
            </w:pPr>
            <w:r>
              <w:rPr>
                <w:b/>
                <w:bCs/>
                <w:color w:val="000000"/>
                <w:spacing w:val="0"/>
                <w:w w:val="100"/>
                <w:position w:val="0"/>
                <w:sz w:val="24"/>
                <w:szCs w:val="24"/>
                <w:shd w:val="clear" w:color="auto" w:fill="auto"/>
                <w:lang w:val="ru-RU" w:eastAsia="ru-RU" w:bidi="ru-RU"/>
              </w:rPr>
              <w:t>Заявитель:</w:t>
            </w:r>
          </w:p>
          <w:p>
            <w:pPr>
              <w:pStyle w:val="Style12"/>
              <w:keepNext w:val="0"/>
              <w:keepLines w:val="0"/>
              <w:widowControl w:val="0"/>
              <w:shd w:val="clear" w:color="auto" w:fill="auto"/>
              <w:bidi w:val="0"/>
              <w:spacing w:before="0" w:after="0" w:line="240" w:lineRule="auto"/>
              <w:ind w:left="1320" w:right="0" w:firstLine="20"/>
              <w:jc w:val="left"/>
            </w:pPr>
            <w:r>
              <w:rPr>
                <w:color w:val="000000"/>
                <w:spacing w:val="0"/>
                <w:w w:val="100"/>
                <w:position w:val="0"/>
                <w:sz w:val="24"/>
                <w:szCs w:val="24"/>
                <w:shd w:val="clear" w:color="auto" w:fill="auto"/>
                <w:lang w:val="ru-RU" w:eastAsia="ru-RU" w:bidi="ru-RU"/>
              </w:rPr>
              <w:t>Индивидуальный предприниматель</w:t>
            </w:r>
          </w:p>
          <w:p>
            <w:pPr>
              <w:pStyle w:val="Style12"/>
              <w:keepNext w:val="0"/>
              <w:keepLines w:val="0"/>
              <w:widowControl w:val="0"/>
              <w:shd w:val="clear" w:color="auto" w:fill="auto"/>
              <w:bidi w:val="0"/>
              <w:spacing w:before="0" w:after="140" w:line="240" w:lineRule="auto"/>
              <w:ind w:left="1320" w:right="0" w:firstLine="20"/>
              <w:jc w:val="left"/>
            </w:pPr>
            <w:r>
              <w:rPr>
                <w:color w:val="000000"/>
                <w:spacing w:val="0"/>
                <w:w w:val="100"/>
                <w:position w:val="0"/>
                <w:sz w:val="24"/>
                <w:szCs w:val="24"/>
                <w:shd w:val="clear" w:color="auto" w:fill="auto"/>
                <w:lang w:val="ru-RU" w:eastAsia="ru-RU" w:bidi="ru-RU"/>
              </w:rPr>
              <w:t>Кравченко А.В.</w:t>
            </w:r>
          </w:p>
          <w:p>
            <w:pPr>
              <w:pStyle w:val="Style12"/>
              <w:keepNext w:val="0"/>
              <w:keepLines w:val="0"/>
              <w:widowControl w:val="0"/>
              <w:shd w:val="clear" w:color="auto" w:fill="auto"/>
              <w:bidi w:val="0"/>
              <w:spacing w:before="0" w:after="0" w:line="240" w:lineRule="auto"/>
              <w:ind w:left="1320" w:right="0" w:firstLine="20"/>
              <w:jc w:val="left"/>
            </w:pPr>
            <w:r>
              <w:rPr>
                <w:b/>
                <w:bCs/>
                <w:color w:val="000000"/>
                <w:spacing w:val="0"/>
                <w:w w:val="100"/>
                <w:position w:val="0"/>
                <w:sz w:val="24"/>
                <w:szCs w:val="24"/>
                <w:shd w:val="clear" w:color="auto" w:fill="auto"/>
                <w:lang w:val="ru-RU" w:eastAsia="ru-RU" w:bidi="ru-RU"/>
              </w:rPr>
              <w:t>Заказчик:</w:t>
            </w:r>
          </w:p>
          <w:p>
            <w:pPr>
              <w:pStyle w:val="Style12"/>
              <w:keepNext w:val="0"/>
              <w:keepLines w:val="0"/>
              <w:widowControl w:val="0"/>
              <w:shd w:val="clear" w:color="auto" w:fill="auto"/>
              <w:bidi w:val="0"/>
              <w:spacing w:before="0" w:after="140" w:line="240" w:lineRule="auto"/>
              <w:ind w:left="1320" w:right="0" w:firstLine="20"/>
              <w:jc w:val="left"/>
            </w:pPr>
            <w:r>
              <w:rPr>
                <w:color w:val="000000"/>
                <w:spacing w:val="0"/>
                <w:w w:val="100"/>
                <w:position w:val="0"/>
                <w:sz w:val="24"/>
                <w:szCs w:val="24"/>
                <w:shd w:val="clear" w:color="auto" w:fill="auto"/>
                <w:lang w:val="ru-RU" w:eastAsia="ru-RU" w:bidi="ru-RU"/>
              </w:rPr>
              <w:t>Бюджетное учреждение ветеринарии Вологодской области «Вологодская межрайонная станция по борьбе с болезнями животных»</w:t>
            </w:r>
          </w:p>
          <w:p>
            <w:pPr>
              <w:pStyle w:val="Style12"/>
              <w:keepNext w:val="0"/>
              <w:keepLines w:val="0"/>
              <w:widowControl w:val="0"/>
              <w:shd w:val="clear" w:color="auto" w:fill="auto"/>
              <w:bidi w:val="0"/>
              <w:spacing w:before="0" w:after="0" w:line="240" w:lineRule="auto"/>
              <w:ind w:left="1320" w:right="0" w:firstLine="20"/>
              <w:jc w:val="left"/>
            </w:pPr>
            <w:r>
              <w:rPr>
                <w:b/>
                <w:bCs/>
                <w:color w:val="000000"/>
                <w:spacing w:val="0"/>
                <w:w w:val="100"/>
                <w:position w:val="0"/>
                <w:sz w:val="24"/>
                <w:szCs w:val="24"/>
                <w:shd w:val="clear" w:color="auto" w:fill="auto"/>
                <w:lang w:val="ru-RU" w:eastAsia="ru-RU" w:bidi="ru-RU"/>
              </w:rPr>
              <w:t>Уполномоченное учреждение:</w:t>
            </w:r>
          </w:p>
          <w:p>
            <w:pPr>
              <w:pStyle w:val="Style12"/>
              <w:keepNext w:val="0"/>
              <w:keepLines w:val="0"/>
              <w:widowControl w:val="0"/>
              <w:shd w:val="clear" w:color="auto" w:fill="auto"/>
              <w:bidi w:val="0"/>
              <w:spacing w:before="0" w:after="140" w:line="240" w:lineRule="auto"/>
              <w:ind w:left="1320" w:right="0" w:firstLine="20"/>
              <w:jc w:val="left"/>
            </w:pPr>
            <w:r>
              <w:rPr>
                <w:color w:val="000000"/>
                <w:spacing w:val="0"/>
                <w:w w:val="100"/>
                <w:position w:val="0"/>
                <w:sz w:val="24"/>
                <w:szCs w:val="24"/>
                <w:shd w:val="clear" w:color="auto" w:fill="auto"/>
                <w:lang w:val="ru-RU" w:eastAsia="ru-RU" w:bidi="ru-RU"/>
              </w:rPr>
              <w:t>КУ ВО «Центр закупок»</w:t>
            </w:r>
          </w:p>
          <w:p>
            <w:pPr>
              <w:pStyle w:val="Style12"/>
              <w:keepNext w:val="0"/>
              <w:keepLines w:val="0"/>
              <w:widowControl w:val="0"/>
              <w:shd w:val="clear" w:color="auto" w:fill="auto"/>
              <w:bidi w:val="0"/>
              <w:spacing w:before="0" w:after="0" w:line="240" w:lineRule="auto"/>
              <w:ind w:left="1320" w:right="0" w:firstLine="20"/>
              <w:jc w:val="left"/>
            </w:pPr>
            <w:r>
              <w:rPr>
                <w:b/>
                <w:bCs/>
                <w:color w:val="000000"/>
                <w:spacing w:val="0"/>
                <w:w w:val="100"/>
                <w:position w:val="0"/>
                <w:sz w:val="24"/>
                <w:szCs w:val="24"/>
                <w:shd w:val="clear" w:color="auto" w:fill="auto"/>
                <w:lang w:val="ru-RU" w:eastAsia="ru-RU" w:bidi="ru-RU"/>
              </w:rPr>
              <w:t>Оператор электронной площадки:</w:t>
            </w:r>
          </w:p>
          <w:p>
            <w:pPr>
              <w:pStyle w:val="Style12"/>
              <w:keepNext w:val="0"/>
              <w:keepLines w:val="0"/>
              <w:widowControl w:val="0"/>
              <w:shd w:val="clear" w:color="auto" w:fill="auto"/>
              <w:bidi w:val="0"/>
              <w:spacing w:before="0" w:after="140" w:line="240" w:lineRule="auto"/>
              <w:ind w:left="1320" w:right="0" w:firstLine="0"/>
              <w:jc w:val="left"/>
            </w:pPr>
            <w:r>
              <w:rPr>
                <w:color w:val="000000"/>
                <w:spacing w:val="0"/>
                <w:w w:val="100"/>
                <w:position w:val="0"/>
                <w:sz w:val="24"/>
                <w:szCs w:val="24"/>
                <w:shd w:val="clear" w:color="auto" w:fill="auto"/>
                <w:lang w:val="ru-RU" w:eastAsia="ru-RU" w:bidi="ru-RU"/>
              </w:rPr>
              <w:t>АО «Сбербанк-АСТ»</w:t>
            </w:r>
          </w:p>
        </w:tc>
      </w:tr>
    </w:tbl>
    <w:p>
      <w:pPr>
        <w:widowControl w:val="0"/>
        <w:spacing w:after="379" w:line="1" w:lineRule="exact"/>
      </w:pPr>
    </w:p>
    <w:p>
      <w:pPr>
        <w:pStyle w:val="Style16"/>
        <w:keepNext w:val="0"/>
        <w:keepLines w:val="0"/>
        <w:widowControl w:val="0"/>
        <w:shd w:val="clear" w:color="auto" w:fill="auto"/>
        <w:bidi w:val="0"/>
        <w:spacing w:before="0" w:after="120" w:line="240" w:lineRule="auto"/>
        <w:ind w:left="0" w:right="0" w:firstLine="0"/>
        <w:jc w:val="center"/>
      </w:pPr>
      <w:r>
        <w:rPr>
          <w:b/>
          <w:bCs/>
          <w:color w:val="000000"/>
          <w:spacing w:val="0"/>
          <w:w w:val="100"/>
          <w:position w:val="0"/>
          <w:sz w:val="24"/>
          <w:szCs w:val="24"/>
          <w:shd w:val="clear" w:color="auto" w:fill="auto"/>
          <w:lang w:val="ru-RU" w:eastAsia="ru-RU" w:bidi="ru-RU"/>
        </w:rPr>
        <w:t>Р Е Ш Е Н И Е № 035/06/8-784/2024</w:t>
      </w:r>
    </w:p>
    <w:p>
      <w:pPr>
        <w:pStyle w:val="Style16"/>
        <w:keepNext w:val="0"/>
        <w:keepLines w:val="0"/>
        <w:widowControl w:val="0"/>
        <w:shd w:val="clear" w:color="auto" w:fill="auto"/>
        <w:tabs>
          <w:tab w:pos="8750" w:val="left"/>
        </w:tabs>
        <w:bidi w:val="0"/>
        <w:spacing w:before="0" w:after="120" w:line="240" w:lineRule="auto"/>
        <w:ind w:left="0" w:right="0" w:firstLine="0"/>
        <w:jc w:val="both"/>
      </w:pPr>
      <w:r>
        <w:rPr>
          <w:color w:val="000000"/>
          <w:spacing w:val="0"/>
          <w:w w:val="100"/>
          <w:position w:val="0"/>
          <w:sz w:val="24"/>
          <w:szCs w:val="24"/>
          <w:shd w:val="clear" w:color="auto" w:fill="auto"/>
          <w:lang w:val="ru-RU" w:eastAsia="ru-RU" w:bidi="ru-RU"/>
        </w:rPr>
        <w:t>07.10.2024</w:t>
        <w:tab/>
        <w:t>г. Вологда</w:t>
      </w:r>
    </w:p>
    <w:p>
      <w:pPr>
        <w:pStyle w:val="Style16"/>
        <w:keepNext w:val="0"/>
        <w:keepLines w:val="0"/>
        <w:widowControl w:val="0"/>
        <w:shd w:val="clear" w:color="auto" w:fill="auto"/>
        <w:tabs>
          <w:tab w:pos="2250" w:val="left"/>
          <w:tab w:pos="4014" w:val="left"/>
          <w:tab w:pos="5938" w:val="left"/>
          <w:tab w:pos="8353" w:val="left"/>
          <w:tab w:pos="9716"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Комиссия</w:t>
        <w:tab/>
        <w:t>Управления</w:t>
        <w:tab/>
        <w:t>Федеральной</w:t>
        <w:tab/>
        <w:t>антимонопольной</w:t>
        <w:tab/>
        <w:t>службы</w:t>
        <w:tab/>
        <w:t>по</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Вологодской области (далее - Комиссия УФАС) в утвержденном составе:</w:t>
      </w:r>
    </w:p>
    <w:p>
      <w:pPr>
        <w:pStyle w:val="Style16"/>
        <w:keepNext w:val="0"/>
        <w:keepLines w:val="0"/>
        <w:widowControl w:val="0"/>
        <w:shd w:val="clear" w:color="auto" w:fill="auto"/>
        <w:tabs>
          <w:tab w:pos="2250"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Сучков О.Н.</w:t>
        <w:tab/>
        <w:t>- временно исполняющий обязанности заместителя руководителя</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Управления Федеральной антимонопольной службы по Вологодской области, председатель Комиссии УФАС;</w:t>
      </w:r>
    </w:p>
    <w:p>
      <w:pPr>
        <w:pStyle w:val="Style16"/>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Смышляева И.А. - начальник отдела контроля органов власти и закупок Управления Федеральной антимонопольной службы по Вологодской области, член Комиссии УФАС;</w:t>
      </w:r>
    </w:p>
    <w:p>
      <w:pPr>
        <w:pStyle w:val="Style16"/>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Косоногова Е.А. - старший специалист 1 разряд отдела контроля органов власти и закупок Управления Федеральной антимонопольной службы по Вологодской области, член Комиссии УФАС,</w:t>
      </w:r>
    </w:p>
    <w:p>
      <w:pPr>
        <w:pStyle w:val="Style16"/>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рассмотрев жалобу индивидуального предпринимателя Кравченко А.В. (далее - Заявитель) на положение извещение о проведении запроса котировок в электронной форме № 0830500000224003864 «Поставка оборудования электрического (универсального аппарата ультразвукового сканирования для ветеринарии)» (далее - закупка, запрос котировок), на действия (бездействие) Заказчика (бюджетного учреждения ветеринарии Вологодской области «Вологодская межрайонная станция по борьбе с болезнями животных» и Уполномоченного учреждения (государственного казенного учреждения Вологодской области «Центр закупок») при организации и проведении закупки,</w:t>
      </w:r>
    </w:p>
    <w:p>
      <w:pPr>
        <w:pStyle w:val="Style16"/>
        <w:keepNext w:val="0"/>
        <w:keepLines w:val="0"/>
        <w:widowControl w:val="0"/>
        <w:shd w:val="clear" w:color="auto" w:fill="auto"/>
        <w:bidi w:val="0"/>
        <w:spacing w:before="0" w:after="120" w:line="240" w:lineRule="auto"/>
        <w:ind w:left="0" w:right="0" w:firstLine="620"/>
        <w:jc w:val="both"/>
      </w:pPr>
      <w:r>
        <w:rPr>
          <w:color w:val="000000"/>
          <w:spacing w:val="0"/>
          <w:w w:val="100"/>
          <w:position w:val="0"/>
          <w:sz w:val="24"/>
          <w:szCs w:val="24"/>
          <w:shd w:val="clear" w:color="auto" w:fill="auto"/>
          <w:lang w:val="ru-RU" w:eastAsia="ru-RU" w:bidi="ru-RU"/>
        </w:rPr>
        <w:t>в присутствии Заявителя, представителей Заказчика и Уполномоченного учреждения,</w:t>
      </w:r>
    </w:p>
    <w:p>
      <w:pPr>
        <w:pStyle w:val="Style16"/>
        <w:keepNext w:val="0"/>
        <w:keepLines w:val="0"/>
        <w:widowControl w:val="0"/>
        <w:shd w:val="clear" w:color="auto" w:fill="auto"/>
        <w:bidi w:val="0"/>
        <w:spacing w:before="0" w:after="120" w:line="240" w:lineRule="auto"/>
        <w:ind w:left="0" w:right="0" w:firstLine="0"/>
        <w:jc w:val="center"/>
      </w:pPr>
      <w:r>
        <w:rPr>
          <w:b/>
          <w:bCs/>
          <w:color w:val="000000"/>
          <w:spacing w:val="0"/>
          <w:w w:val="100"/>
          <w:position w:val="0"/>
          <w:sz w:val="24"/>
          <w:szCs w:val="24"/>
          <w:shd w:val="clear" w:color="auto" w:fill="auto"/>
          <w:lang w:val="ru-RU" w:eastAsia="ru-RU" w:bidi="ru-RU"/>
        </w:rPr>
        <w:t>У С Т А Н О В И Л А:</w:t>
      </w:r>
    </w:p>
    <w:p>
      <w:pPr>
        <w:pStyle w:val="Style16"/>
        <w:keepNext w:val="0"/>
        <w:keepLines w:val="0"/>
        <w:widowControl w:val="0"/>
        <w:shd w:val="clear" w:color="auto" w:fill="auto"/>
        <w:tabs>
          <w:tab w:pos="3456"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 xml:space="preserve">26.09.2024 жалоба Заявителя размещена в Единой информационной системе в сфере закупок </w:t>
      </w:r>
      <w:r>
        <w:fldChar w:fldCharType="begin"/>
      </w:r>
      <w:r>
        <w:rPr/>
        <w:instrText> HYPERLINK "https://zakupki.gov.ru/" </w:instrText>
      </w:r>
      <w:r>
        <w:fldChar w:fldCharType="separate"/>
      </w:r>
      <w:r>
        <w:rPr>
          <w:color w:val="000000"/>
          <w:spacing w:val="0"/>
          <w:w w:val="100"/>
          <w:position w:val="0"/>
          <w:sz w:val="24"/>
          <w:szCs w:val="24"/>
          <w:shd w:val="clear" w:color="auto" w:fill="auto"/>
          <w:lang w:val="ru-RU" w:eastAsia="ru-RU" w:bidi="ru-RU"/>
        </w:rPr>
        <w:t>(Ьйр8://xакирк^.доV.^и,</w:t>
      </w:r>
      <w:r>
        <w:fldChar w:fldCharType="end"/>
      </w:r>
      <w:r>
        <w:rPr>
          <w:color w:val="000000"/>
          <w:spacing w:val="0"/>
          <w:w w:val="100"/>
          <w:position w:val="0"/>
          <w:sz w:val="24"/>
          <w:szCs w:val="24"/>
          <w:shd w:val="clear" w:color="auto" w:fill="auto"/>
          <w:lang w:val="ru-RU" w:eastAsia="ru-RU" w:bidi="ru-RU"/>
        </w:rPr>
        <w:tab/>
        <w:t xml:space="preserve">далее - ЕИС) и зарегистрирована (вх. № 5696-ЭП/24 </w:t>
      </w:r>
      <w:r>
        <w:rPr>
          <w:color w:val="000000"/>
          <w:spacing w:val="0"/>
          <w:w w:val="100"/>
          <w:position w:val="0"/>
          <w:sz w:val="24"/>
          <w:szCs w:val="24"/>
          <w:shd w:val="clear" w:color="auto" w:fill="auto"/>
          <w:lang w:val="ru-RU" w:eastAsia="ru-RU" w:bidi="ru-RU"/>
        </w:rPr>
        <w:t>от 27.09.2024) в Управлении Федеральной антимонопольной службы по Вологодской области (далее - УФАС).</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п. 1 ч. 2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Закон о контрактной системе) жалоба на положения извещения об осуществлении закупки, документации о закупке (в случае, если Законом № 44-ФЗ предусмотрена документация о закупке) может быть подана до окончания срока подачи заявок на участие в закупке.</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извещение о проведении запроса котировок (далее - извещение) дата и время окончания срока подачи заявок 27.09.2024 08:00 (мск)</w:t>
      </w:r>
    </w:p>
    <w:p>
      <w:pPr>
        <w:pStyle w:val="Style16"/>
        <w:keepNext w:val="0"/>
        <w:keepLines w:val="0"/>
        <w:widowControl w:val="0"/>
        <w:shd w:val="clear" w:color="auto" w:fill="auto"/>
        <w:tabs>
          <w:tab w:pos="554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Жалоба Заявителя подана в установленный срок и принята УФАС к рассмотрению в порядке, предусмотренном ст.ст. 99, 105, 106 Закона № 44-ФЗ,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(далее - Правила №</w:t>
        <w:tab/>
        <w:t>1576), утвержденными постановлением</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Правительства Российской Федерации от 01.10.2020 № 1576.</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Лицам, участвующим в рассмотрении жалобы, посредством размещения информации в ЕИС сообщено о назначении рассмотрения жалобы на 03.10.2024 в 15:30 (мск).</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ч. 2 ст. 106 Закона № 44-ФЗ лицам, участвующим в рассмотрении жалобы, сообщено о возможности рассмотрения жалобы с использованием систем видеоконференцсвязи или программ, обеспечивающих голосовую видеосвязь посредством сети «Интернет» (далее - ВКС). Соответствующая ссылка ВКС размещена в ЕИС и направлена лицам, участвующим в рассмотрении жалобы по электронной почте.</w:t>
      </w:r>
    </w:p>
    <w:p>
      <w:pPr>
        <w:pStyle w:val="Style16"/>
        <w:keepNext w:val="0"/>
        <w:keepLines w:val="0"/>
        <w:widowControl w:val="0"/>
        <w:shd w:val="clear" w:color="auto" w:fill="auto"/>
        <w:bidi w:val="0"/>
        <w:spacing w:before="0" w:after="12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требованиями ст.ст. 99, 105, 106 Закона № 44-ФЗ, Правил № 1576 Комиссией УФАС в рамках рассмотрения жалобы Заявителя проведена внеплановая проверка.</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рамках рассмотрения жалобы и внеплановой проверки установлено следующее.</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20.09.2024 извещение размещено в ЕИС.</w:t>
      </w:r>
    </w:p>
    <w:p>
      <w:pPr>
        <w:pStyle w:val="Style16"/>
        <w:keepNext w:val="0"/>
        <w:keepLines w:val="0"/>
        <w:widowControl w:val="0"/>
        <w:shd w:val="clear" w:color="auto" w:fill="auto"/>
        <w:tabs>
          <w:tab w:pos="1958" w:val="left"/>
          <w:tab w:pos="330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Предметом</w:t>
        <w:tab/>
        <w:t>(объектом)</w:t>
        <w:tab/>
        <w:t>закупки является поставка оборудования электрического</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(универсального аппарата ультразвукового сканирования для ветеринарии).</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составе извещения размещены следующие файлы: Обоснование начальной (максимальной) цены контрактаЛосх; Проект контрактаЛосх; Описание объекта закупкиЛосх; Требование к содержанию, составу заявки на участие в закупке.досх.</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Начальная (максимальная) цена контракта - 2 397 000,00 руб.</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Показатели, позволяющие определить соответствие закупаемого товара установленным Заказчиком требованиям, указаны в извещении и в файле «Описание объекта закупки.досх» (далее - ТЗ).</w:t>
      </w:r>
    </w:p>
    <w:p>
      <w:pPr>
        <w:pStyle w:val="Style16"/>
        <w:keepNext w:val="0"/>
        <w:keepLines w:val="0"/>
        <w:widowControl w:val="0"/>
        <w:shd w:val="clear" w:color="auto" w:fill="auto"/>
        <w:tabs>
          <w:tab w:pos="7886" w:val="left"/>
          <w:tab w:pos="830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 мнению Заявителя, Заказчик, установив ограничения допуска в соответствии с постановлением Правительства Российской Федерации от 10.07.2019</w:t>
        <w:tab/>
        <w:t>№</w:t>
        <w:tab/>
        <w:t>878 «О мерах</w:t>
      </w:r>
    </w:p>
    <w:p>
      <w:pPr>
        <w:pStyle w:val="Style16"/>
        <w:keepNext w:val="0"/>
        <w:keepLines w:val="0"/>
        <w:widowControl w:val="0"/>
        <w:shd w:val="clear" w:color="auto" w:fill="auto"/>
        <w:tabs>
          <w:tab w:pos="6307"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16.09.2016 № 925 и признании утратившими силу некоторых актов Правительства Российской Федерации» (далее - Постановление № 878), не выбрав соответствующую позицию Каталога товаров, работ, услуг (далее - КТРУ) согласно Правилам использования каталога товаров, работ, услуг для обеспечения государственных и муниципальных нужд (далее - Правила использования КТРУ), утвержденным постановлением Правительства Российской Федерации от 08.02.2017 №</w:t>
        <w:tab/>
        <w:t>145, закупает товар, который не</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соответствует ни одной модели ультразвукового диагностического оборудования, включенного в Единый реестр радиоэлектронной продукции, что приводит к ограничению конкуренции, вводит в заблуждение потенциальных участников и не возможности предложить товар отечественного производителя.</w:t>
      </w:r>
    </w:p>
    <w:p>
      <w:pPr>
        <w:pStyle w:val="Style16"/>
        <w:keepNext w:val="0"/>
        <w:keepLines w:val="0"/>
        <w:widowControl w:val="0"/>
        <w:shd w:val="clear" w:color="auto" w:fill="auto"/>
        <w:tabs>
          <w:tab w:pos="4450" w:val="left"/>
          <w:tab w:pos="4906"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 учетом вышеуказанного довода Заявитель также считает, что Заказчик при организации и проведении закупки не применяет Постановление Правительства Российской Федерации от 03.12.2020 № 2014 «О минимальной обязательной доле закупок российских товаров и ее достижении заказчиком» (далее - Постановление № 2014), постановление Правительства Российской Федерации от 16.11.2015</w:t>
        <w:tab/>
        <w:t>№</w:t>
        <w:tab/>
        <w:t>1236 «Об установлении запрета на допуск</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Заявитель полагает, что товар согласно ТЗ в полном объеме соответствует только под одного производителя, имеющего регистрационное удостоверение. Описание объекта закупки как минимум под двух производителей Заявитель не усматривает.</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Заявитель считает, что проект контракта имеет ряд нарушений и отклонений от действующего законодательства, в том числе не заполнены данные: контактные данные сотрудников конечного получателя и Заказчика.</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Заявитель просит отдельно выделить производство по его заявлению и рассмотреть его доводы в рамках Федерального закона от 26.07.2006 № 135-ФЗ «О защите конкуренции».</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 и Уполномоченное учреждение не согласились с доводами Заявителя, представлены письменные пояснения.</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 и Уполномоченное учреждение указывают на то, что деятельность Заказчика (БУВ ВО «Вологодская межрайСББЖ», далее также - Учреждение) регламентируется Федеральным законом от 14.05.1993 № 4979-1 «О ветеринарии» и направлена на реализацию мероприятий по предупреждению и ликвидацию заразных и массовых незаразных болезней животных. Учреждение осуществляет ветеринарную деятельность, предоставляет государственные услуги в сфере ветеринарии физическим и юридическим лицам и не является медицинским учреждением, оборудование закупается для обследования исключительно животных с целью недопущения завоза и распространения опасных болезней среди сельскохозяйственных и домашних животных. В связи с этим, требования к оборудованию имеют свою специфику, в том числе специализированные ветеринарные пакеты расчетов и измерений.</w:t>
      </w:r>
    </w:p>
    <w:p>
      <w:pPr>
        <w:pStyle w:val="Style16"/>
        <w:keepNext w:val="0"/>
        <w:keepLines w:val="0"/>
        <w:widowControl w:val="0"/>
        <w:shd w:val="clear" w:color="auto" w:fill="auto"/>
        <w:tabs>
          <w:tab w:pos="6955" w:val="left"/>
          <w:tab w:pos="729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 учетом специфики, потребностей и имеющегося финансирования Заказчик при выборе оборудования руководствовался позицией (кодом) ОКПД2</w:t>
      </w:r>
      <w:r>
        <w:rPr>
          <w:color w:val="000000"/>
          <w:spacing w:val="0"/>
          <w:w w:val="100"/>
          <w:position w:val="0"/>
          <w:sz w:val="24"/>
          <w:szCs w:val="24"/>
          <w:shd w:val="clear" w:color="auto" w:fill="auto"/>
          <w:vertAlign w:val="superscript"/>
          <w:lang w:val="ru-RU" w:eastAsia="ru-RU" w:bidi="ru-RU"/>
        </w:rPr>
        <w:footnoteReference w:id="2"/>
      </w:r>
      <w:r>
        <w:rPr>
          <w:color w:val="000000"/>
          <w:spacing w:val="0"/>
          <w:w w:val="100"/>
          <w:position w:val="0"/>
          <w:sz w:val="24"/>
          <w:szCs w:val="24"/>
          <w:shd w:val="clear" w:color="auto" w:fill="auto"/>
          <w:lang w:val="ru-RU" w:eastAsia="ru-RU" w:bidi="ru-RU"/>
        </w:rPr>
        <w:tab/>
        <w:t>-</w:t>
        <w:tab/>
        <w:t>26.60.12.132 «Аппараты</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ультразвукового сканирования». Заказчиком была изучена информация по наличию в Едином реестре российской радиоэлектронной продукции (Постановление № 878) (далее - реестр) всех возможных вариантов.</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 указывает на то, что в реестре присутствуют 7 аппаратов ультразвуковых систем 3-х производителей, что противоречит утверждениям заявителя, а именно:</w:t>
      </w:r>
    </w:p>
    <w:p>
      <w:pPr>
        <w:pStyle w:val="Style16"/>
        <w:keepNext w:val="0"/>
        <w:keepLines w:val="0"/>
        <w:widowControl w:val="0"/>
        <w:numPr>
          <w:ilvl w:val="0"/>
          <w:numId w:val="1"/>
        </w:numPr>
        <w:shd w:val="clear" w:color="auto" w:fill="auto"/>
        <w:tabs>
          <w:tab w:pos="883"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АО «Научно-производственное объединение «СКАНЕР»:</w:t>
      </w:r>
    </w:p>
    <w:p>
      <w:pPr>
        <w:pStyle w:val="Style16"/>
        <w:keepNext w:val="0"/>
        <w:keepLines w:val="0"/>
        <w:widowControl w:val="0"/>
        <w:numPr>
          <w:ilvl w:val="0"/>
          <w:numId w:val="3"/>
        </w:numPr>
        <w:shd w:val="clear" w:color="auto" w:fill="auto"/>
        <w:tabs>
          <w:tab w:pos="76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Система ультразвуковая диагностическая медицинская "РуСкан 70П" по ТУ 26.60.12-004</w:t>
        <w:softHyphen/>
        <w:t>98204792-2020 с принадлежностями (Регистрационное удостоверение РЗН 2020/13006, вид медицинского изделия 260250);</w:t>
      </w:r>
    </w:p>
    <w:p>
      <w:pPr>
        <w:pStyle w:val="Style16"/>
        <w:keepNext w:val="0"/>
        <w:keepLines w:val="0"/>
        <w:widowControl w:val="0"/>
        <w:numPr>
          <w:ilvl w:val="0"/>
          <w:numId w:val="3"/>
        </w:numPr>
        <w:shd w:val="clear" w:color="auto" w:fill="auto"/>
        <w:tabs>
          <w:tab w:pos="76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Система ультразвуковая диагностическая медицинская "РуСкан 65М" по ТУ 26.60.12</w:t>
        <w:softHyphen/>
        <w:t>003-98204792-2019 с принадлежностями (Регистрационное удостоверение РЗН 2020/12882, вид медицинского изделия 260250);</w:t>
      </w:r>
    </w:p>
    <w:p>
      <w:pPr>
        <w:pStyle w:val="Style16"/>
        <w:keepNext w:val="0"/>
        <w:keepLines w:val="0"/>
        <w:widowControl w:val="0"/>
        <w:numPr>
          <w:ilvl w:val="0"/>
          <w:numId w:val="3"/>
        </w:numPr>
        <w:shd w:val="clear" w:color="auto" w:fill="auto"/>
        <w:tabs>
          <w:tab w:pos="76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Система ультразвуковая диагностическая медицинская "РуСкан 65" по ТУ 26.60.12-003</w:t>
        <w:softHyphen/>
        <w:t>98204792-2019 с принадлежностями (Регистрационное удостоверение РЗН 2020/12882, вид медицинского изделия 260250);</w:t>
      </w:r>
    </w:p>
    <w:p>
      <w:pPr>
        <w:pStyle w:val="Style16"/>
        <w:keepNext w:val="0"/>
        <w:keepLines w:val="0"/>
        <w:widowControl w:val="0"/>
        <w:numPr>
          <w:ilvl w:val="0"/>
          <w:numId w:val="3"/>
        </w:numPr>
        <w:shd w:val="clear" w:color="auto" w:fill="auto"/>
        <w:tabs>
          <w:tab w:pos="76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Система ультразвуковая диагностическая медицинская "РуСкан 60" по ТУ 26.60.12-002</w:t>
        <w:softHyphen/>
        <w:t>98204792-2017 с принадлежностями (Регистрационное удостоверение РЗН 2018/6719, вид медицинского изделия 260250);</w:t>
      </w:r>
    </w:p>
    <w:p>
      <w:pPr>
        <w:pStyle w:val="Style16"/>
        <w:keepNext w:val="0"/>
        <w:keepLines w:val="0"/>
        <w:widowControl w:val="0"/>
        <w:numPr>
          <w:ilvl w:val="0"/>
          <w:numId w:val="3"/>
        </w:numPr>
        <w:shd w:val="clear" w:color="auto" w:fill="auto"/>
        <w:tabs>
          <w:tab w:pos="76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Система ультразвуковая диагностическая медицинская «РуСкан 50» по ТУ 9442-001</w:t>
        <w:softHyphen/>
        <w:t>98204792-2016 с принадлежностями (Регистрационное удостоверение РЗН 2018/6770, вид медицинского изделия 260250).</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 указывает на то, что в соответствии с документацией, размещенной на официальном сайте Росздравнадзора (1111р8://го8хс1га\'пас1хог.до\'.ги) «Система применяется для ультразвуковой диагностики в следующих медицинских областях.. ..Система предназначена для эксплуатации в лечебных и лечебно-профилактических медицинских учреждениях медицинским персоналом.Система может приобретаться только медицинскими учреждениями или по их поручению» (Руководство по эксплуатации, стр.4 ).</w:t>
      </w:r>
    </w:p>
    <w:p>
      <w:pPr>
        <w:pStyle w:val="Style16"/>
        <w:keepNext w:val="0"/>
        <w:keepLines w:val="0"/>
        <w:widowControl w:val="0"/>
        <w:numPr>
          <w:ilvl w:val="0"/>
          <w:numId w:val="1"/>
        </w:numPr>
        <w:shd w:val="clear" w:color="auto" w:fill="auto"/>
        <w:tabs>
          <w:tab w:pos="93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АО «Научно-исследовательская производственная компания «ЭЛЕКТРОН»: Система диагностическая для ультразвуковых исследований «УЗИ-ЭЛЕКТРОН» по ТУ 9442-035</w:t>
        <w:softHyphen/>
        <w:t>11150760-2016 (Регистрационное удостоверение РЗН 2018/7047, Вид медицинского изделия 260250).</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документацией, размещенной на официальном сайте Росздравнадзора (Ьйр8://^о8xд^аVпадxо^.доV.^и) «Система применяется для диагностики в медицине и предназначена для формирования в реальном времени эхограмм методом ультразвуковой локации с целью получения клинической информации о расположении, форме структуре, геометрических размерах органов и тканей человека, а также измерения скорости кровотока» (Руководство по эксплуатации, стр.19).</w:t>
      </w:r>
    </w:p>
    <w:p>
      <w:pPr>
        <w:pStyle w:val="Style16"/>
        <w:keepNext w:val="0"/>
        <w:keepLines w:val="0"/>
        <w:widowControl w:val="0"/>
        <w:numPr>
          <w:ilvl w:val="0"/>
          <w:numId w:val="1"/>
        </w:numPr>
        <w:shd w:val="clear" w:color="auto" w:fill="auto"/>
        <w:tabs>
          <w:tab w:pos="93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АО «ЗАСЛОН»: Сканер ультразвуковой диагностический «СмартСкан» 15А, исполнение 00 (Регистрационное удостоверение РЗН 2021/15918, Вид медицинского изделия 260250)</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документацией, размещенной на официальном сайте Росздравнадзора (1111р8://го8хс1гаупас1хог.доу.п.1) «Сканер используется в медицинских учреждениях широкого профиля (научно-исследовательские учреждения, больницы, поликлиники, оздоровительные центры, санатории, санитарный транспорт и др» (Руководство по эксплуатации, стр.6)</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 отмечает, что все данные аппараты являются медицинскими изделиями и предназначены для использования в лечебных учреждениях, что не соответствует потребностям заказчика. В документации данных аппаратов, которая размещена на официальном сайте Росздравнадзор четко указано, что они применяются только в медицинских учреждениях. Данные аппараты не предназначены для исследования животных, не отвечают специфическим требованиям для специализированного ветеринарного оборудования и не имеют специализированных ветеринарных пакетов расчетов и измерений.</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Заказчик отмечает, что их использование в ветеринарных учреждениях, к которым относиться заказчик, противоречит документации производителя.</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 не является медицинским учреждением и не планирует использовать данное оборудование в медицинских целях. Более того, в связи со спецификой работы Заказчика данное оборудование необходимо для исследования животных, а, следовательно, должно быть специализированным ветеринарным, что должно подтверждаться соответствующей документацией. На рынке присутствуют аппараты, которые предназначены для использования в ветеринарии.</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каталоге КТРУ присутствует несколько позиций для описания медицинских аппаратов ультразвукового сканирования, при описании которых приводится информация «НОМЕНКЛАТУРНАЯ КЛАССИФИКАЦИЯ МЕДИЦИНСКИХ ИЗДЕЛИЙ ПО ВИДАМ»:</w:t>
      </w:r>
    </w:p>
    <w:p>
      <w:pPr>
        <w:pStyle w:val="Style16"/>
        <w:keepNext w:val="0"/>
        <w:keepLines w:val="0"/>
        <w:widowControl w:val="0"/>
        <w:numPr>
          <w:ilvl w:val="0"/>
          <w:numId w:val="5"/>
        </w:numPr>
        <w:shd w:val="clear" w:color="auto" w:fill="auto"/>
        <w:tabs>
          <w:tab w:pos="2348" w:val="left"/>
        </w:tabs>
        <w:bidi w:val="0"/>
        <w:spacing w:before="0" w:after="0" w:line="240" w:lineRule="auto"/>
        <w:ind w:left="0" w:right="0" w:firstLine="580"/>
        <w:jc w:val="both"/>
      </w:pPr>
      <w:r>
        <w:fldChar w:fldCharType="begin"/>
      </w:r>
      <w:r>
        <w:rPr/>
        <w:instrText> HYPERLINK "https://zakupki.gov.ru/epz/ktru/ktruCard/ktru-description.html?itemId=67407&amp;backUrl=" </w:instrText>
      </w:r>
      <w:r>
        <w:fldChar w:fldCharType="separate"/>
      </w:r>
      <w:r>
        <w:rPr>
          <w:color w:val="000000"/>
          <w:spacing w:val="0"/>
          <w:w w:val="100"/>
          <w:position w:val="0"/>
          <w:sz w:val="24"/>
          <w:szCs w:val="24"/>
          <w:shd w:val="clear" w:color="auto" w:fill="auto"/>
          <w:lang w:val="ru-RU" w:eastAsia="ru-RU" w:bidi="ru-RU"/>
        </w:rPr>
        <w:t xml:space="preserve">000011 </w:t>
      </w:r>
      <w:r>
        <w:fldChar w:fldCharType="end"/>
      </w:r>
      <w:r>
        <w:rPr>
          <w:color w:val="000000"/>
          <w:spacing w:val="0"/>
          <w:w w:val="100"/>
          <w:position w:val="0"/>
          <w:sz w:val="24"/>
          <w:szCs w:val="24"/>
          <w:shd w:val="clear" w:color="auto" w:fill="auto"/>
          <w:lang w:val="ru-RU" w:eastAsia="ru-RU" w:bidi="ru-RU"/>
        </w:rPr>
        <w:t>(вид медицинского изделия 192070: Система ультразвуковой визуализации сердечно-сосудистой системы);</w:t>
      </w:r>
    </w:p>
    <w:p>
      <w:pPr>
        <w:pStyle w:val="Style16"/>
        <w:keepNext w:val="0"/>
        <w:keepLines w:val="0"/>
        <w:widowControl w:val="0"/>
        <w:numPr>
          <w:ilvl w:val="0"/>
          <w:numId w:val="5"/>
        </w:numPr>
        <w:shd w:val="clear" w:color="auto" w:fill="auto"/>
        <w:tabs>
          <w:tab w:pos="2362" w:val="left"/>
          <w:tab w:pos="3105" w:val="left"/>
          <w:tab w:pos="3705" w:val="left"/>
          <w:tab w:pos="5328" w:val="left"/>
          <w:tab w:pos="6307" w:val="left"/>
          <w:tab w:pos="7243" w:val="left"/>
          <w:tab w:pos="8294" w:val="left"/>
        </w:tabs>
        <w:bidi w:val="0"/>
        <w:spacing w:before="0" w:after="0" w:line="240" w:lineRule="auto"/>
        <w:ind w:left="0" w:right="0" w:firstLine="580"/>
        <w:jc w:val="both"/>
      </w:pPr>
      <w:r>
        <w:fldChar w:fldCharType="begin"/>
      </w:r>
      <w:r>
        <w:rPr/>
        <w:instrText> HYPERLINK "https://zakupki.gov.ru/epz/ktru/ktruCard/ktru-description.html?itemId=84818&amp;backUrl=" </w:instrText>
      </w:r>
      <w:r>
        <w:fldChar w:fldCharType="separate"/>
      </w:r>
      <w:r>
        <w:rPr>
          <w:color w:val="000000"/>
          <w:spacing w:val="0"/>
          <w:w w:val="100"/>
          <w:position w:val="0"/>
          <w:sz w:val="24"/>
          <w:szCs w:val="24"/>
          <w:shd w:val="clear" w:color="auto" w:fill="auto"/>
          <w:lang w:val="ru-RU" w:eastAsia="ru-RU" w:bidi="ru-RU"/>
        </w:rPr>
        <w:t>000037</w:t>
        <w:tab/>
      </w:r>
      <w:r>
        <w:fldChar w:fldCharType="end"/>
      </w:r>
      <w:r>
        <w:rPr>
          <w:color w:val="000000"/>
          <w:spacing w:val="0"/>
          <w:w w:val="100"/>
          <w:position w:val="0"/>
          <w:sz w:val="24"/>
          <w:szCs w:val="24"/>
          <w:shd w:val="clear" w:color="auto" w:fill="auto"/>
          <w:lang w:val="ru-RU" w:eastAsia="ru-RU" w:bidi="ru-RU"/>
        </w:rPr>
        <w:t>(вид</w:t>
        <w:tab/>
        <w:t>медицинского</w:t>
        <w:tab/>
        <w:t>изделия</w:t>
        <w:tab/>
        <w:t>260250:</w:t>
        <w:tab/>
        <w:t>Система</w:t>
        <w:tab/>
        <w:t>ультразвуковой</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визуализации универсальная);</w:t>
      </w:r>
    </w:p>
    <w:p>
      <w:pPr>
        <w:pStyle w:val="Style16"/>
        <w:keepNext w:val="0"/>
        <w:keepLines w:val="0"/>
        <w:widowControl w:val="0"/>
        <w:numPr>
          <w:ilvl w:val="0"/>
          <w:numId w:val="5"/>
        </w:numPr>
        <w:shd w:val="clear" w:color="auto" w:fill="auto"/>
        <w:tabs>
          <w:tab w:pos="2362" w:val="left"/>
          <w:tab w:pos="3105" w:val="left"/>
          <w:tab w:pos="3705" w:val="left"/>
          <w:tab w:pos="5328" w:val="left"/>
          <w:tab w:pos="6307" w:val="left"/>
          <w:tab w:pos="7243" w:val="left"/>
          <w:tab w:pos="8294" w:val="left"/>
        </w:tabs>
        <w:bidi w:val="0"/>
        <w:spacing w:before="0" w:after="0" w:line="240" w:lineRule="auto"/>
        <w:ind w:left="0" w:right="0" w:firstLine="580"/>
        <w:jc w:val="both"/>
      </w:pPr>
      <w:r>
        <w:fldChar w:fldCharType="begin"/>
      </w:r>
      <w:r>
        <w:rPr/>
        <w:instrText> HYPERLINK "https://zakupki.gov.ru/epz/ktru/ktruCard/ktru-description.html?itemId=84728&amp;backUrl=" </w:instrText>
      </w:r>
      <w:r>
        <w:fldChar w:fldCharType="separate"/>
      </w:r>
      <w:r>
        <w:rPr>
          <w:color w:val="000000"/>
          <w:spacing w:val="0"/>
          <w:w w:val="100"/>
          <w:position w:val="0"/>
          <w:sz w:val="24"/>
          <w:szCs w:val="24"/>
          <w:shd w:val="clear" w:color="auto" w:fill="auto"/>
          <w:lang w:val="ru-RU" w:eastAsia="ru-RU" w:bidi="ru-RU"/>
        </w:rPr>
        <w:t>000042</w:t>
        <w:tab/>
      </w:r>
      <w:r>
        <w:fldChar w:fldCharType="end"/>
      </w:r>
      <w:r>
        <w:rPr>
          <w:color w:val="000000"/>
          <w:spacing w:val="0"/>
          <w:w w:val="100"/>
          <w:position w:val="0"/>
          <w:sz w:val="24"/>
          <w:szCs w:val="24"/>
          <w:shd w:val="clear" w:color="auto" w:fill="auto"/>
          <w:lang w:val="ru-RU" w:eastAsia="ru-RU" w:bidi="ru-RU"/>
        </w:rPr>
        <w:t>(вид</w:t>
        <w:tab/>
        <w:t>медицинского</w:t>
        <w:tab/>
        <w:t>изделия</w:t>
        <w:tab/>
        <w:t>324320:</w:t>
        <w:tab/>
        <w:t>Система</w:t>
        <w:tab/>
        <w:t>ультразвуковой</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визуализации ручная, для поверхности тела);</w:t>
      </w:r>
    </w:p>
    <w:p>
      <w:pPr>
        <w:pStyle w:val="Style16"/>
        <w:keepNext w:val="0"/>
        <w:keepLines w:val="0"/>
        <w:widowControl w:val="0"/>
        <w:numPr>
          <w:ilvl w:val="0"/>
          <w:numId w:val="5"/>
        </w:numPr>
        <w:shd w:val="clear" w:color="auto" w:fill="auto"/>
        <w:tabs>
          <w:tab w:pos="2362" w:val="left"/>
          <w:tab w:pos="3105" w:val="left"/>
          <w:tab w:pos="3705" w:val="left"/>
          <w:tab w:pos="5328" w:val="left"/>
          <w:tab w:pos="6307" w:val="left"/>
          <w:tab w:pos="7243" w:val="left"/>
          <w:tab w:pos="8294" w:val="left"/>
        </w:tabs>
        <w:bidi w:val="0"/>
        <w:spacing w:before="0" w:after="0" w:line="240" w:lineRule="auto"/>
        <w:ind w:left="0" w:right="0" w:firstLine="580"/>
        <w:jc w:val="both"/>
      </w:pPr>
      <w:r>
        <w:fldChar w:fldCharType="begin"/>
      </w:r>
      <w:r>
        <w:rPr/>
        <w:instrText> HYPERLINK "https://zakupki.gov.ru/epz/ktru/ktruCard/ktru-description.html?itemId=84833&amp;backUrl=" </w:instrText>
      </w:r>
      <w:r>
        <w:fldChar w:fldCharType="separate"/>
      </w:r>
      <w:r>
        <w:rPr>
          <w:color w:val="000000"/>
          <w:spacing w:val="0"/>
          <w:w w:val="100"/>
          <w:position w:val="0"/>
          <w:sz w:val="24"/>
          <w:szCs w:val="24"/>
          <w:shd w:val="clear" w:color="auto" w:fill="auto"/>
          <w:lang w:val="ru-RU" w:eastAsia="ru-RU" w:bidi="ru-RU"/>
        </w:rPr>
        <w:t>000036</w:t>
        <w:tab/>
      </w:r>
      <w:r>
        <w:fldChar w:fldCharType="end"/>
      </w:r>
      <w:r>
        <w:rPr>
          <w:color w:val="000000"/>
          <w:spacing w:val="0"/>
          <w:w w:val="100"/>
          <w:position w:val="0"/>
          <w:sz w:val="24"/>
          <w:szCs w:val="24"/>
          <w:shd w:val="clear" w:color="auto" w:fill="auto"/>
          <w:lang w:val="ru-RU" w:eastAsia="ru-RU" w:bidi="ru-RU"/>
        </w:rPr>
        <w:t>(вид</w:t>
        <w:tab/>
        <w:t>медицинского</w:t>
        <w:tab/>
        <w:t>изделия</w:t>
        <w:tab/>
        <w:t>260250:</w:t>
        <w:tab/>
        <w:t>Система</w:t>
        <w:tab/>
        <w:t>ультразвуковой</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визуализации универсальная);</w:t>
      </w:r>
    </w:p>
    <w:p>
      <w:pPr>
        <w:pStyle w:val="Style16"/>
        <w:keepNext w:val="0"/>
        <w:keepLines w:val="0"/>
        <w:widowControl w:val="0"/>
        <w:numPr>
          <w:ilvl w:val="0"/>
          <w:numId w:val="5"/>
        </w:numPr>
        <w:shd w:val="clear" w:color="auto" w:fill="auto"/>
        <w:tabs>
          <w:tab w:pos="2362" w:val="left"/>
          <w:tab w:pos="3105" w:val="left"/>
          <w:tab w:pos="3705" w:val="left"/>
          <w:tab w:pos="5328" w:val="left"/>
          <w:tab w:pos="6307" w:val="left"/>
          <w:tab w:pos="7243" w:val="left"/>
          <w:tab w:pos="8294" w:val="left"/>
        </w:tabs>
        <w:bidi w:val="0"/>
        <w:spacing w:before="0" w:after="0" w:line="240" w:lineRule="auto"/>
        <w:ind w:left="0" w:right="0" w:firstLine="580"/>
        <w:jc w:val="both"/>
      </w:pPr>
      <w:r>
        <w:fldChar w:fldCharType="begin"/>
      </w:r>
      <w:r>
        <w:rPr/>
        <w:instrText> HYPERLINK "https://zakupki.gov.ru/epz/ktru/ktruCard/ktru-description.html?itemId=98862&amp;backUrl=" </w:instrText>
      </w:r>
      <w:r>
        <w:fldChar w:fldCharType="separate"/>
      </w:r>
      <w:r>
        <w:rPr>
          <w:color w:val="000000"/>
          <w:spacing w:val="0"/>
          <w:w w:val="100"/>
          <w:position w:val="0"/>
          <w:sz w:val="24"/>
          <w:szCs w:val="24"/>
          <w:shd w:val="clear" w:color="auto" w:fill="auto"/>
          <w:lang w:val="ru-RU" w:eastAsia="ru-RU" w:bidi="ru-RU"/>
        </w:rPr>
        <w:t>000043</w:t>
        <w:tab/>
      </w:r>
      <w:r>
        <w:fldChar w:fldCharType="end"/>
      </w:r>
      <w:r>
        <w:rPr>
          <w:color w:val="000000"/>
          <w:spacing w:val="0"/>
          <w:w w:val="100"/>
          <w:position w:val="0"/>
          <w:sz w:val="24"/>
          <w:szCs w:val="24"/>
          <w:shd w:val="clear" w:color="auto" w:fill="auto"/>
          <w:lang w:val="ru-RU" w:eastAsia="ru-RU" w:bidi="ru-RU"/>
        </w:rPr>
        <w:t>(вид</w:t>
        <w:tab/>
        <w:t>медицинского</w:t>
        <w:tab/>
        <w:t>изделия</w:t>
        <w:tab/>
        <w:t>324320:</w:t>
        <w:tab/>
        <w:t>Система</w:t>
        <w:tab/>
        <w:t>ультразвуковой</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визуализации ручная, для поверхности тела).</w:t>
      </w:r>
    </w:p>
    <w:p>
      <w:pPr>
        <w:pStyle w:val="Style16"/>
        <w:keepNext w:val="0"/>
        <w:keepLines w:val="0"/>
        <w:widowControl w:val="0"/>
        <w:shd w:val="clear" w:color="auto" w:fill="auto"/>
        <w:tabs>
          <w:tab w:pos="846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Все имеющиеся в КТРУ позиции не соответствуют специализированным ветеринарным ультразвуковым аппаратам и не могут обеспечить потребность заказчика в оборудовании, требующимся для выполнения задач по ветеринарному контролю.</w:t>
        <w:tab/>
        <w:t>Приобретение</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 xml:space="preserve">оборудования, предназначенного для исследования человека, не только противоречит </w:t>
      </w:r>
      <w:r>
        <w:rPr>
          <w:color w:val="000000"/>
          <w:spacing w:val="0"/>
          <w:w w:val="100"/>
          <w:position w:val="0"/>
          <w:sz w:val="24"/>
          <w:szCs w:val="24"/>
          <w:shd w:val="clear" w:color="auto" w:fill="auto"/>
          <w:lang w:val="ru-RU" w:eastAsia="ru-RU" w:bidi="ru-RU"/>
        </w:rPr>
        <w:t>документам производителей, но и не позволит исполнять исследования животных, создаст неудобство для пользователя, подвергнет сомнительности лечебные выводы ветеринарных врачей и может быть признано нецелевыми расходами.</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Заказчиком были изучены закупки на приобретение ультразвуковых аппаратов, в том числе включенные в реестр. Стоимость таких аппаратов значительно превышает имеющееся у Заказчика финансирование.</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Заказчик считает, что в реестре отсутствует специализированное оборудование, предназначенное для ветеринарных исследований, а имеющееся оборудование имеет однозначное указание на применение в медицинских учреждениях. В имеющихся КТРУ нет оборудования, предназначенного для ветеринарных исследований (только для медицины).</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вышеуказанного, Заказчик не имел возможности использовать КТРУ предназначенные для описания медицинских изделий.</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Заказчиком было установлено ограничение допуска по Постановлению № 878 и условие допуска участникам, заявки или окончательные предложения которых содержат предложения о поставке товаров в соответствии с приказом Минфина России от 04.06.2018 № 126н.</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 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 44-ФЗ. В качестве кода КТРУ, на которые в каталоге отсутствует соответствующая позиция, указывается код такого товара, работы, услуги согласно ОКПД2.</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 вправе включить в документацию о проведении электронного запроса котировок характеристики товара, которые отвечают его потребностям и необходимы для выполнения его функций. При описании объекта закупки Заказчик руководствовался существующей потребностью с учетом специфики деятельности. Описание объекта закупки изложенным образом не противоречит законодательству о контрактной системе в сфере закупок.</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Указание в документации особых характеристик товара, которые отвечают потребностям заказчика и необходимы ему с учетом специфики использования, не может рассматриваться как ограничение круга потенциальных участников закупки.</w:t>
      </w:r>
    </w:p>
    <w:p>
      <w:pPr>
        <w:pStyle w:val="Style16"/>
        <w:keepNext w:val="0"/>
        <w:keepLines w:val="0"/>
        <w:widowControl w:val="0"/>
        <w:shd w:val="clear" w:color="auto" w:fill="auto"/>
        <w:tabs>
          <w:tab w:pos="417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 пояснил, что наименование закупки «Поставка оборудования электрического (универсального аппарата ультразвукового сканирования для ветеринарии)» обусловлено применением типового контракта №</w:t>
        <w:tab/>
        <w:t xml:space="preserve">1400700000520009 </w:t>
      </w:r>
      <w:r>
        <w:fldChar w:fldCharType="begin"/>
      </w:r>
      <w:r>
        <w:rPr/>
        <w:instrText> HYPERLINK "https://zakupki.gov.ru/44fz/filestore/public/1.0/download/btk/file.html?uid=AB6AE66334C5019EE0530A86121FCEA1" </w:instrText>
      </w:r>
      <w:r>
        <w:fldChar w:fldCharType="separate"/>
      </w:r>
      <w:r>
        <w:rPr>
          <w:color w:val="000000"/>
          <w:spacing w:val="0"/>
          <w:w w:val="100"/>
          <w:position w:val="0"/>
          <w:sz w:val="24"/>
          <w:szCs w:val="24"/>
          <w:shd w:val="clear" w:color="auto" w:fill="auto"/>
          <w:lang w:val="ru-RU" w:eastAsia="ru-RU" w:bidi="ru-RU"/>
        </w:rPr>
        <w:t>(приказ Минпромторга России от</w:t>
      </w:r>
      <w:r>
        <w:fldChar w:fldCharType="end"/>
      </w:r>
    </w:p>
    <w:p>
      <w:pPr>
        <w:pStyle w:val="Style16"/>
        <w:keepNext w:val="0"/>
        <w:keepLines w:val="0"/>
        <w:widowControl w:val="0"/>
        <w:shd w:val="clear" w:color="auto" w:fill="auto"/>
        <w:bidi w:val="0"/>
        <w:spacing w:before="0" w:after="0" w:line="240" w:lineRule="auto"/>
        <w:ind w:left="0" w:right="0" w:firstLine="0"/>
        <w:jc w:val="both"/>
      </w:pPr>
      <w:r>
        <w:fldChar w:fldCharType="begin"/>
      </w:r>
      <w:r>
        <w:rPr/>
        <w:instrText> HYPERLINK "https://zakupki.gov.ru/44fz/filestore/public/1.0/download/btk/file.html?uid=AB6AE66334C5019EE0530A86121FCEA1" </w:instrText>
      </w:r>
      <w:r>
        <w:fldChar w:fldCharType="separate"/>
      </w:r>
      <w:r>
        <w:rPr>
          <w:color w:val="000000"/>
          <w:spacing w:val="0"/>
          <w:w w:val="100"/>
          <w:position w:val="0"/>
          <w:sz w:val="24"/>
          <w:szCs w:val="24"/>
          <w:shd w:val="clear" w:color="auto" w:fill="auto"/>
          <w:lang w:val="ru-RU" w:eastAsia="ru-RU" w:bidi="ru-RU"/>
        </w:rPr>
        <w:t>07.04.2020 № 1152)</w:t>
      </w:r>
      <w:r>
        <w:fldChar w:fldCharType="end"/>
      </w:r>
      <w:r>
        <w:rPr>
          <w:color w:val="000000"/>
          <w:spacing w:val="0"/>
          <w:w w:val="100"/>
          <w:position w:val="0"/>
          <w:sz w:val="24"/>
          <w:szCs w:val="24"/>
          <w:shd w:val="clear" w:color="auto" w:fill="auto"/>
          <w:lang w:val="ru-RU" w:eastAsia="ru-RU" w:bidi="ru-RU"/>
        </w:rPr>
        <w:t>. В силу ч. 11 ст. 34 Закона о контрактной системе применение типовых контрактов заказчиками обязательно.</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Пунктом 1 Постановления № 2014 установлена минимальная обязательная доля закупок российских товаров (в том числе товаров поставляемых при выполнении закупаемых работ, оказании закупаемых услуг) отдельных видов, при осуществлении закупок которых установлены ограничения допуска товаров, происходящих из иностранных государств, определенную в процентном отношении к объему закупок товаров (в том числе товаров, поставляемых при выполнении закупаемых работ, оказании закупаемых услуг) соответствующего вида, осуществленных заказчиком в отчетном году.</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проведении мониторинга и последующего анализа рынка аппаратов для ультразвкуковых исследований, Заказчик, в первую очередь проанализировал все аппараты, сведения о которых размещены в Реестре российской промышленной продукции, Реестре евразийской промышленной продукции, Едином реестре российской радиоэлектронной продукции. Требуемых технических характеристик, подходящих под требования Заказчика, аппараты для ультразвуковых исследований, размещенные в данных реестрах не имеют.</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На сайте Минпромторга России размещены разъяснения к порядку расчета НМЦК в целях выполнения минимальной обязательной доли закупок российских товаров </w:t>
      </w:r>
      <w:r>
        <w:fldChar w:fldCharType="begin"/>
      </w:r>
      <w:r>
        <w:rPr/>
        <w:instrText> HYPERLINK "http://gisp.gov.ru/news/14074908/" </w:instrText>
      </w:r>
      <w:r>
        <w:fldChar w:fldCharType="separate"/>
      </w:r>
      <w:r>
        <w:rPr>
          <w:color w:val="000000"/>
          <w:spacing w:val="0"/>
          <w:w w:val="100"/>
          <w:position w:val="0"/>
          <w:sz w:val="24"/>
          <w:szCs w:val="24"/>
          <w:shd w:val="clear" w:color="auto" w:fill="auto"/>
          <w:lang w:val="ru-RU" w:eastAsia="ru-RU" w:bidi="ru-RU"/>
        </w:rPr>
        <w:t xml:space="preserve">1111р://д^р.до\'.ги/пе\\ъ/140)7490)8/. </w:t>
      </w:r>
      <w:r>
        <w:fldChar w:fldCharType="end"/>
      </w:r>
      <w:r>
        <w:rPr>
          <w:color w:val="000000"/>
          <w:spacing w:val="0"/>
          <w:w w:val="100"/>
          <w:position w:val="0"/>
          <w:sz w:val="24"/>
          <w:szCs w:val="24"/>
          <w:shd w:val="clear" w:color="auto" w:fill="auto"/>
          <w:lang w:val="ru-RU" w:eastAsia="ru-RU" w:bidi="ru-RU"/>
        </w:rPr>
        <w:t>Согласно таким разъяснениям при отсутствии ценовой информации, необходимой для определения НМЦК от производителей из ГИСП (государственная информационная система промышленности), позволяет получить коммерческое предложение и определить НМЦК в «общем порядке».</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В данном случае НМЦК определена Заказчиком методом сопоставимых рыночных цен (п. 1 ч. 1 ст. 22 Закона № 44-ФЗ) с использованием данных, полученных из коммерческих предложений поставщиков данного вида товаров, а также методических рекомендаций по </w:t>
      </w:r>
      <w:r>
        <w:rPr>
          <w:color w:val="000000"/>
          <w:spacing w:val="0"/>
          <w:w w:val="100"/>
          <w:position w:val="0"/>
          <w:sz w:val="24"/>
          <w:szCs w:val="24"/>
          <w:shd w:val="clear" w:color="auto" w:fill="auto"/>
          <w:lang w:val="ru-RU" w:eastAsia="ru-RU" w:bidi="ru-RU"/>
        </w:rPr>
        <w:t>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Заказчиком запрос коммерческих предложений направлен в адрес 5 (пяти) потенциальных поставщиков. Для обоснования НМЦК использовано 3 (три) коммерческих предложения.</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Заказчиком при проведении анализа рынка установлено соответствие техническому заданию и наличие как минимум 3 (трех) аппаратов различных производителей соответствующих техническому заданию. Требования для направления запросов и получения коммерческих предложений именно на физическом бумажном носителе с уведомлением о вручении Почты России действующим законодательством не установлены.</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Заказчиком не применено Постановление № 1236, так как предметом закупки является «универсальный аппарат ультразвукового сканирования для ветеринарии», а не программное обеспечение. «Универсальный аппарат ультразвукового сканирования для ветеринарии» должен иметь предустановленное программное обеспечение, необходимое для его эффективной работы. Закупка программного обеспечения подразумевает отдельный код КТРУ и не гарантирует совместимость закупленного программного обеспечения с ультразвуковой системой.</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Постановлением № 1236 не регламентированы случаи применения рассматриваемого запрета при закупках оборудования с предустановленным программным обеспечением (встроенным программным обеспечением), без которого применение данного оборудования невозможно, и в извещении не предусмотрена необходимость установки программного обеспечения и передачи прав на него в результате исполнения обязательств по контракту. Установление запрета на допуск программного обеспечения, происходящего из иностранных государств в соответствии с Постановлением № 1236 не требуется.</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ч. 1 ст. 42 Закона о контрактной системе извещение об осуществлении закупки содержит все необходимые сведения, в том числе дату начала исполнения контракта, дату окончания исполнения контракта, место поставки товара, телефон, информация о закупке размещена в полном объёме. Заказчик считает, что права потенциальных поставщиков по уточнению логистики и расчета себестоимости поставки оборудования полностью соблюдены и ограничение конкуренции отсутствуют. Кроме того, не ограничены права потенциальных поставщиков по выпуску банковских гарантий, так как извещение содержит сведения о дате начала исполнения контракта и срок его исполнения.</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Извещение включает отдельный файл проекта контракта, который содержит типовые условия, незаполненные графы заполняются только после определения поставщика (наименование сторон, цена контракта, размер обеспечения, источник финансирования, адреса и банковские реквизиты сторон, спецификация). По мнению Заказчика, Заявителем не предоставлено доказательств наличия объективных оснований, препятствующих Заявителю и другим потенциальным поставщикам, участвующим в закупке, осуществить поставку оборудования с указанным в извещении описанием объекта закупки.</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УФАС, проанализировав довод Заявителя, возражения Заказчика, Уполномоченного учреждения и материалы жалобы в их совокупности, не установила в положении извещения признаков нарушений законодательства о контрактной системе, а также оснований для передачи материалов жалобы для рассмотрения на предмет нарушения антимонопольного законодательства.</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ч. 1 ст. 105 Закона о контрактной системе при проведении конкурентных способов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 Заявителю предложено представить доказательства, подтверждающие доводы жалобы, нарушение прав Заявителя на участие в закупке и соответствие Заявителя требованиям, установленным Законом о контрактной системе и иными нормативными правовыми актами.</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Доказательства, подтверждающие не возможность потенциальных участников закупки, в том числе Заявителя, принять участие в запросе котировок, в материалы жалобы не представлены. Нарушение прав Заявителя действиями (бездействием) Заказчика не подтверждено.</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положений Закона о контрактной системе и Правил № 1576 при проведении проверок и рассмотрении жалоб на действия/бездействие заказчиков и иных субъектов контроля не обязывает антимонопольный орган/соответствующие комиссии антимонопольного органа устанавливать те факты, которые умалчиваются участниками процесса. Комиссия УФАС оценивает доводы Заявителя, пояснения, возражения Заказчика и иных субъектов контроля с учетом требований действующего законодательства и на основании представленных доказательств (документов).</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Заказчиком и Уполномоченным учреждением даны надлежащие пояснения, подтверждающие правомерность их действий.</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Доказательства, опровергающие позицию субъектов контроля, в Комиссию УФАС в рамках рассмотрения жалобы Заявителем не представлены. Потребность Заказчика в закупке товара для применения его в области ветеринарии не опрвергнута.</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Жалоба Заявителя является необоснованной.</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рамках внеплановой проверки нарушений законодательства о контрактной системе не выявлено.</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Доводы Заявителя об ограничении конкуренции (нарушении требований антимонопольного законодательства) образуют самостоятельный предмет для рассмотрения, вследствие чего такие доводы выходят за пределы рассмотрения жалобы о нарушении законодательства о контрактной системе. В связи с тем, что доказательства, свидетельствующие об ограничении конкуренции, не представлены, основания для передачи жалобы в антимонопольный орган на предмет установления наличия или отсутствия признаков нарушения антимонопольного законодательства отсутствуют.</w:t>
      </w:r>
    </w:p>
    <w:p>
      <w:pPr>
        <w:pStyle w:val="Style16"/>
        <w:keepNext w:val="0"/>
        <w:keepLines w:val="0"/>
        <w:widowControl w:val="0"/>
        <w:shd w:val="clear" w:color="auto" w:fill="auto"/>
        <w:bidi w:val="0"/>
        <w:spacing w:before="0" w:after="120" w:line="240" w:lineRule="auto"/>
        <w:ind w:left="0" w:right="0" w:firstLine="580"/>
        <w:jc w:val="both"/>
      </w:pPr>
      <w:r>
        <w:rPr>
          <w:color w:val="000000"/>
          <w:spacing w:val="0"/>
          <w:w w:val="100"/>
          <w:position w:val="0"/>
          <w:sz w:val="24"/>
          <w:szCs w:val="24"/>
          <w:shd w:val="clear" w:color="auto" w:fill="auto"/>
          <w:lang w:val="ru-RU" w:eastAsia="ru-RU" w:bidi="ru-RU"/>
        </w:rPr>
        <w:t>Руководствуясь ст. 106 Закона № 44-ФЗ, Правилами № 1576, Комиссия УФАС</w:t>
      </w:r>
    </w:p>
    <w:p>
      <w:pPr>
        <w:pStyle w:val="Style16"/>
        <w:keepNext w:val="0"/>
        <w:keepLines w:val="0"/>
        <w:widowControl w:val="0"/>
        <w:shd w:val="clear" w:color="auto" w:fill="auto"/>
        <w:bidi w:val="0"/>
        <w:spacing w:before="0" w:after="120" w:line="240" w:lineRule="auto"/>
        <w:ind w:left="0" w:right="0" w:firstLine="0"/>
        <w:jc w:val="center"/>
      </w:pPr>
      <w:r>
        <w:rPr>
          <w:b/>
          <w:bCs/>
          <w:color w:val="000000"/>
          <w:spacing w:val="0"/>
          <w:w w:val="100"/>
          <w:position w:val="0"/>
          <w:sz w:val="24"/>
          <w:szCs w:val="24"/>
          <w:shd w:val="clear" w:color="auto" w:fill="auto"/>
          <w:lang w:val="ru-RU" w:eastAsia="ru-RU" w:bidi="ru-RU"/>
        </w:rPr>
        <w:t>Р Е Ш И Л А:</w:t>
      </w:r>
    </w:p>
    <w:p>
      <w:pPr>
        <w:pStyle w:val="Style16"/>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Признать жалобу индивидуального предпринимателя Кравченко А.В. необоснованной.</w:t>
      </w:r>
    </w:p>
    <w:p>
      <w:pPr>
        <w:pStyle w:val="Style16"/>
        <w:keepNext w:val="0"/>
        <w:keepLines w:val="0"/>
        <w:widowControl w:val="0"/>
        <w:shd w:val="clear" w:color="auto" w:fill="auto"/>
        <w:bidi w:val="0"/>
        <w:spacing w:before="0" w:after="480" w:line="240" w:lineRule="auto"/>
        <w:ind w:left="0" w:right="0" w:firstLine="580"/>
        <w:jc w:val="both"/>
      </w:pPr>
      <w:r>
        <w:rPr>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tbl>
      <w:tblPr>
        <w:tblOverlap w:val="never"/>
        <w:jc w:val="center"/>
        <w:tblLayout w:type="fixed"/>
      </w:tblPr>
      <w:tblGrid>
        <w:gridCol w:w="3446"/>
        <w:gridCol w:w="2405"/>
        <w:gridCol w:w="2429"/>
      </w:tblGrid>
      <w:tr>
        <w:trPr>
          <w:trHeight w:val="413" w:hRule="exact"/>
        </w:trPr>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940"/>
              <w:jc w:val="left"/>
            </w:pPr>
            <w:r>
              <w:rPr>
                <w:i/>
                <w:iCs/>
                <w:color w:val="000000"/>
                <w:spacing w:val="0"/>
                <w:w w:val="100"/>
                <w:position w:val="0"/>
                <w:sz w:val="24"/>
                <w:szCs w:val="24"/>
                <w:shd w:val="clear" w:color="auto" w:fill="auto"/>
                <w:lang w:val="ru-RU" w:eastAsia="ru-RU" w:bidi="ru-RU"/>
              </w:rPr>
              <w:t>подпись</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660"/>
              <w:jc w:val="left"/>
            </w:pPr>
            <w:r>
              <w:rPr>
                <w:color w:val="000000"/>
                <w:spacing w:val="0"/>
                <w:w w:val="100"/>
                <w:position w:val="0"/>
                <w:sz w:val="24"/>
                <w:szCs w:val="24"/>
                <w:shd w:val="clear" w:color="auto" w:fill="auto"/>
                <w:lang w:val="ru-RU" w:eastAsia="ru-RU" w:bidi="ru-RU"/>
              </w:rPr>
              <w:t>О.Н. Сучков</w:t>
            </w:r>
          </w:p>
        </w:tc>
      </w:tr>
      <w:tr>
        <w:trPr>
          <w:trHeight w:val="53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40"/>
              <w:jc w:val="left"/>
            </w:pPr>
            <w:r>
              <w:rPr>
                <w:i/>
                <w:iCs/>
                <w:color w:val="000000"/>
                <w:spacing w:val="0"/>
                <w:w w:val="100"/>
                <w:position w:val="0"/>
                <w:sz w:val="24"/>
                <w:szCs w:val="24"/>
                <w:shd w:val="clear" w:color="auto" w:fill="auto"/>
                <w:lang w:val="ru-RU" w:eastAsia="ru-RU" w:bidi="ru-RU"/>
              </w:rPr>
              <w:t>подпись</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60"/>
              <w:jc w:val="left"/>
            </w:pPr>
            <w:r>
              <w:rPr>
                <w:color w:val="000000"/>
                <w:spacing w:val="0"/>
                <w:w w:val="100"/>
                <w:position w:val="0"/>
                <w:sz w:val="24"/>
                <w:szCs w:val="24"/>
                <w:shd w:val="clear" w:color="auto" w:fill="auto"/>
                <w:lang w:val="ru-RU" w:eastAsia="ru-RU" w:bidi="ru-RU"/>
              </w:rPr>
              <w:t>И.А. Смышляева</w:t>
            </w:r>
          </w:p>
        </w:tc>
      </w:tr>
      <w:tr>
        <w:trPr>
          <w:trHeight w:val="389" w:hRule="exact"/>
        </w:trPr>
        <w:tc>
          <w:tcPr>
            <w:tcBorders/>
            <w:shd w:val="clear" w:color="auto" w:fill="auto"/>
            <w:vAlign w:val="top"/>
          </w:tcPr>
          <w:p>
            <w:pPr>
              <w:widowControl w:val="0"/>
              <w:rPr>
                <w:sz w:val="10"/>
                <w:szCs w:val="10"/>
              </w:rPr>
            </w:pPr>
          </w:p>
        </w:tc>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940"/>
              <w:jc w:val="left"/>
            </w:pPr>
            <w:r>
              <w:rPr>
                <w:i/>
                <w:iCs/>
                <w:color w:val="000000"/>
                <w:spacing w:val="0"/>
                <w:w w:val="100"/>
                <w:position w:val="0"/>
                <w:sz w:val="24"/>
                <w:szCs w:val="24"/>
                <w:shd w:val="clear" w:color="auto" w:fill="auto"/>
                <w:lang w:val="ru-RU" w:eastAsia="ru-RU" w:bidi="ru-RU"/>
              </w:rPr>
              <w:t>подпись</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660"/>
              <w:jc w:val="left"/>
            </w:pPr>
            <w:r>
              <w:rPr>
                <w:color w:val="000000"/>
                <w:spacing w:val="0"/>
                <w:w w:val="100"/>
                <w:position w:val="0"/>
                <w:sz w:val="24"/>
                <w:szCs w:val="24"/>
                <w:shd w:val="clear" w:color="auto" w:fill="auto"/>
                <w:lang w:val="ru-RU" w:eastAsia="ru-RU" w:bidi="ru-RU"/>
              </w:rPr>
              <w:t>Е.А. Косоногова</w:t>
            </w:r>
          </w:p>
        </w:tc>
      </w:tr>
    </w:tbl>
    <w:sectPr>
      <w:footerReference w:type="default" r:id="rId7"/>
      <w:footerReference w:type="first" r:id="rId8"/>
      <w:footnotePr>
        <w:pos w:val="pageBottom"/>
        <w:numFmt w:val="upperRoman"/>
        <w:numStart w:val="1"/>
        <w:numRestart w:val="continuous"/>
        <w15:footnoteColumns w:val="1"/>
      </w:footnotePr>
      <w:pgSz w:w="11900" w:h="16840"/>
      <w:pgMar w:top="561" w:right="605" w:bottom="737" w:left="1181"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3937000</wp:posOffset>
              </wp:positionH>
              <wp:positionV relativeFrom="page">
                <wp:posOffset>10302240</wp:posOffset>
              </wp:positionV>
              <wp:extent cx="45720" cy="69850"/>
              <wp:wrapNone/>
              <wp:docPr id="2" name="Shape 2"/>
              <a:graphic xmlns:a="http://schemas.openxmlformats.org/drawingml/2006/main">
                <a:graphicData uri="http://schemas.microsoft.com/office/word/2010/wordprocessingShape">
                  <wps:wsp>
                    <wps:cNvSpPr txBox="1"/>
                    <wps:spPr>
                      <a:xfrm>
                        <a:ext cx="45720" cy="698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color w:val="000000"/>
                                <w:spacing w:val="0"/>
                                <w:w w:val="100"/>
                                <w:position w:val="0"/>
                                <w:sz w:val="16"/>
                                <w:szCs w:val="16"/>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10.pt;margin-top:811.20000000000005pt;width:3.6000000000000001pt;height:5.5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color w:val="000000"/>
                          <w:spacing w:val="0"/>
                          <w:w w:val="100"/>
                          <w:position w:val="0"/>
                          <w:sz w:val="16"/>
                          <w:szCs w:val="16"/>
                          <w:shd w:val="clear" w:color="auto" w:fill="auto"/>
                          <w:lang w:val="ru-RU" w:eastAsia="ru-RU" w:bidi="ru-RU"/>
                        </w:rPr>
                        <w:t>#</w:t>
                      </w:r>
                    </w:fldSimple>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909955</wp:posOffset>
              </wp:positionH>
              <wp:positionV relativeFrom="page">
                <wp:posOffset>10262235</wp:posOffset>
              </wp:positionV>
              <wp:extent cx="6096000" cy="0"/>
              <wp:wrapNone/>
              <wp:docPr id="4" name="Shape 4"/>
              <a:graphic xmlns:a="http://schemas.openxmlformats.org/drawingml/2006/main">
                <a:graphicData uri="http://schemas.microsoft.com/office/word/2010/wordprocessingShape">
                  <wps:wsp>
                    <wps:cNvCnPr/>
                    <wps:spPr>
                      <a:xfrm>
                        <a:ext cx="6096000" cy="0"/>
                      </a:xfrm>
                      <a:prstGeom prst="straightConnector1"/>
                      <a:ln w="12700">
                        <a:solidFill/>
                      </a:ln>
                    </wps:spPr>
                    <wps:bodyPr/>
                  </wps:wsp>
                </a:graphicData>
              </a:graphic>
            </wp:anchor>
          </w:drawing>
        </mc:Choice>
        <mc:Fallback>
          <w:pict>
            <v:shape o:spt="32" o:oned="true" path="m,l21600,21600e" style="position:absolute;margin-left:71.650000000000006pt;margin-top:808.05000000000007pt;width:480.pt;height:0;z-index:-251658240;mso-position-horizontal-relative:page;mso-position-vertical-relative:page">
              <v:stroke weight="1.pt"/>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3929380</wp:posOffset>
              </wp:positionH>
              <wp:positionV relativeFrom="page">
                <wp:posOffset>10288270</wp:posOffset>
              </wp:positionV>
              <wp:extent cx="24130" cy="69850"/>
              <wp:wrapNone/>
              <wp:docPr id="5" name="Shape 5"/>
              <a:graphic xmlns:a="http://schemas.openxmlformats.org/drawingml/2006/main">
                <a:graphicData uri="http://schemas.microsoft.com/office/word/2010/wordprocessingShape">
                  <wps:wsp>
                    <wps:cNvSpPr txBox="1"/>
                    <wps:spPr>
                      <a:xfrm>
                        <a:ext cx="24130" cy="698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color w:val="000000"/>
                                <w:spacing w:val="0"/>
                                <w:w w:val="100"/>
                                <w:position w:val="0"/>
                                <w:sz w:val="16"/>
                                <w:szCs w:val="16"/>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40000000000003pt;margin-top:810.10000000000002pt;width:1.9000000000000001pt;height:5.5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color w:val="000000"/>
                          <w:spacing w:val="0"/>
                          <w:w w:val="100"/>
                          <w:position w:val="0"/>
                          <w:sz w:val="16"/>
                          <w:szCs w:val="16"/>
                          <w:shd w:val="clear" w:color="auto" w:fill="auto"/>
                          <w:lang w:val="ru-RU" w:eastAsia="ru-RU" w:bidi="ru-RU"/>
                        </w:rPr>
                        <w:t>#</w:t>
                      </w:r>
                    </w:fldSimple>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890270</wp:posOffset>
              </wp:positionH>
              <wp:positionV relativeFrom="page">
                <wp:posOffset>10262235</wp:posOffset>
              </wp:positionV>
              <wp:extent cx="6099175" cy="0"/>
              <wp:wrapNone/>
              <wp:docPr id="7" name="Shape 7"/>
              <a:graphic xmlns:a="http://schemas.openxmlformats.org/drawingml/2006/main">
                <a:graphicData uri="http://schemas.microsoft.com/office/word/2010/wordprocessingShape">
                  <wps:wsp>
                    <wps:cNvCnPr/>
                    <wps:spPr>
                      <a:xfrm>
                        <a:ext cx="6099175" cy="0"/>
                      </a:xfrm>
                      <a:prstGeom prst="straightConnector1"/>
                      <a:ln w="12700">
                        <a:solidFill/>
                      </a:ln>
                    </wps:spPr>
                    <wps:bodyPr/>
                  </wps:wsp>
                </a:graphicData>
              </a:graphic>
            </wp:anchor>
          </w:drawing>
        </mc:Choice>
        <mc:Fallback>
          <w:pict>
            <v:shape o:spt="32" o:oned="true" path="m,l21600,21600e" style="position:absolute;margin-left:70.100000000000009pt;margin-top:808.05000000000007pt;width:480.25pt;height:0;z-index:-251658240;mso-position-horizontal-relative:page;mso-position-vertical-relative:page">
              <v:stroke weight="1.pt"/>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separator/>
      </w:r>
    </w:p>
  </w:footnote>
  <w:footnote w:id="1" w:type="continuationSeparator">
    <w:p>
      <w:r>
        <w:continuationSeparator/>
      </w:r>
    </w:p>
  </w:footnote>
  <w:footnote w:id="2">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lang w:val="ru-RU" w:eastAsia="ru-RU" w:bidi="ru-RU"/>
        </w:rPr>
        <w:footnoteRef/>
      </w:r>
      <w:r>
        <w:rPr>
          <w:color w:val="000000"/>
          <w:spacing w:val="0"/>
          <w:w w:val="100"/>
          <w:position w:val="0"/>
          <w:shd w:val="clear" w:color="auto" w:fill="auto"/>
          <w:lang w:val="ru-RU" w:eastAsia="ru-RU" w:bidi="ru-RU"/>
        </w:rPr>
        <w:t xml:space="preserve"> ОК 034-2014 (КПЕС 2008). Общероссийский классификатор продукции по видам экономической деятельности (утв. Приказом Росстандарта от 31.01.2014 № 14-ст)</w:t>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26.60.12.-%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32"/>
      <w:numFmt w:val="decimal"/>
      <w:lvlText w:val="-26.60.12.-%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Сноска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Заголовок №1_"/>
    <w:basedOn w:val="DefaultParagraphFont"/>
    <w:link w:val="Style7"/>
    <w:rPr>
      <w:rFonts w:ascii="Times New Roman" w:eastAsia="Times New Roman" w:hAnsi="Times New Roman" w:cs="Times New Roman"/>
      <w:b/>
      <w:bCs/>
      <w:i w:val="0"/>
      <w:iCs w:val="0"/>
      <w:smallCaps w:val="0"/>
      <w:strike w:val="0"/>
      <w:sz w:val="28"/>
      <w:szCs w:val="28"/>
      <w:u w:val="none"/>
    </w:rPr>
  </w:style>
  <w:style w:type="character" w:customStyle="1" w:styleId="CharStyle10">
    <w:name w:val="Подпись к таблице_"/>
    <w:basedOn w:val="DefaultParagraphFont"/>
    <w:link w:val="Style9"/>
    <w:rPr>
      <w:rFonts w:ascii="Times New Roman" w:eastAsia="Times New Roman" w:hAnsi="Times New Roman" w:cs="Times New Roman"/>
      <w:b w:val="0"/>
      <w:bCs w:val="0"/>
      <w:i w:val="0"/>
      <w:iCs w:val="0"/>
      <w:smallCaps w:val="0"/>
      <w:strike w:val="0"/>
      <w:u w:val="none"/>
    </w:rPr>
  </w:style>
  <w:style w:type="character" w:customStyle="1" w:styleId="CharStyle13">
    <w:name w:val="Другое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u w:val="none"/>
    </w:rPr>
  </w:style>
  <w:style w:type="paragraph" w:customStyle="1" w:styleId="Style2">
    <w:name w:val="Сноска"/>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Заголовок №1"/>
    <w:basedOn w:val="Normal"/>
    <w:link w:val="CharStyle8"/>
    <w:pPr>
      <w:widowControl w:val="0"/>
      <w:shd w:val="clear" w:color="auto" w:fill="auto"/>
      <w:spacing w:after="60"/>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9">
    <w:name w:val="Подпись к таблице"/>
    <w:basedOn w:val="Normal"/>
    <w:link w:val="CharStyle10"/>
    <w:pPr>
      <w:widowControl w:val="0"/>
      <w:shd w:val="clear" w:color="auto" w:fill="auto"/>
      <w:spacing w:after="60"/>
      <w:ind w:firstLine="380"/>
    </w:pPr>
    <w:rPr>
      <w:rFonts w:ascii="Times New Roman" w:eastAsia="Times New Roman" w:hAnsi="Times New Roman" w:cs="Times New Roman"/>
      <w:b w:val="0"/>
      <w:bCs w:val="0"/>
      <w:i w:val="0"/>
      <w:iCs w:val="0"/>
      <w:smallCaps w:val="0"/>
      <w:strike w:val="0"/>
      <w:u w:val="none"/>
    </w:rPr>
  </w:style>
  <w:style w:type="paragraph" w:customStyle="1" w:styleId="Style12">
    <w:name w:val="Другое"/>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footer" Target="footer1.xml"/><Relationship Id="rId8" Type="http://schemas.openxmlformats.org/officeDocument/2006/relationships/footer" Target="footer2.xml"/></Relationships>
</file>

<file path=docProps/core.xml><?xml version="1.0" encoding="utf-8"?>
<cp:coreProperties xmlns:cp="http://schemas.openxmlformats.org/package/2006/metadata/core-properties" xmlns:dc="http://purl.org/dc/elements/1.1/">
  <dc:title>Начальнику управления по кадровой</dc:title>
  <dc:subject/>
  <dc:creator>Celeron IV</dc:creator>
  <cp:keywords/>
</cp:coreProperties>
</file>