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3704590</wp:posOffset>
            </wp:positionH>
            <wp:positionV relativeFrom="paragraph">
              <wp:posOffset>12700</wp:posOffset>
            </wp:positionV>
            <wp:extent cx="560705" cy="66421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60705" cy="6642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838200" distL="220980" distR="354965" simplePos="0" relativeHeight="125829379" behindDoc="0" locked="0" layoutInCell="1" allowOverlap="1">
                <wp:simplePos x="0" y="0"/>
                <wp:positionH relativeFrom="page">
                  <wp:posOffset>812165</wp:posOffset>
                </wp:positionH>
                <wp:positionV relativeFrom="paragraph">
                  <wp:posOffset>118745</wp:posOffset>
                </wp:positionV>
                <wp:extent cx="2277110" cy="177673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77110" cy="1776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300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</w:t>
                              <w:br/>
                              <w:t>службы</w:t>
                              <w:br/>
                              <w:t>по Республике Адыгея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ул. Ленина, 40, г. Майкоп, 385000</w:t>
                              <w:br/>
                              <w:t>тел. (8772)57-05-22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е-тай: 1о01@Й8.§оу.га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120" w:line="240" w:lineRule="auto"/>
                              <w:ind w:left="0" w:right="0" w:firstLine="0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04.10.2024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2930/24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3.950000000000003pt;margin-top:9.3499999999999996pt;width:179.30000000000001pt;height:139.90000000000001pt;z-index:-125829374;mso-wrap-distance-left:17.400000000000002pt;mso-wrap-distance-right:27.949999999999999pt;mso-wrap-distance-bottom:66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300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</w:t>
                        <w:br/>
                        <w:t>службы</w:t>
                        <w:br/>
                        <w:t>по Республике Адыгея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ул. Ленина, 40, г. Майкоп, 385000</w:t>
                        <w:br/>
                        <w:t>тел. (8772)57-05-22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е-тай: 1о01@Й8.§оу.га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120" w:line="240" w:lineRule="auto"/>
                        <w:ind w:left="0" w:right="0" w:firstLine="0"/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04.10.2024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2930/24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2432050" distB="0" distL="120650" distR="114300" simplePos="0" relativeHeight="125829381" behindDoc="0" locked="0" layoutInCell="1" allowOverlap="1">
            <wp:simplePos x="0" y="0"/>
            <wp:positionH relativeFrom="page">
              <wp:posOffset>711835</wp:posOffset>
            </wp:positionH>
            <wp:positionV relativeFrom="paragraph">
              <wp:posOffset>2550795</wp:posOffset>
            </wp:positionV>
            <wp:extent cx="2621280" cy="182880"/>
            <wp:wrapSquare wrapText="righ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621280" cy="1828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705485</wp:posOffset>
                </wp:positionH>
                <wp:positionV relativeFrom="paragraph">
                  <wp:posOffset>2081530</wp:posOffset>
                </wp:positionV>
                <wp:extent cx="2609215" cy="155575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09215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46619B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5.550000000000004pt;margin-top:163.90000000000001pt;width:205.45000000000002pt;height:12.25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color w:val="46619B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300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МОНОПОЛИЕМ ПЭПНУЕКЮРЭ</w:t>
        <w:br/>
        <w:t>ФЕДЕРАЛЬНЭ КЪУЛЫКЪУР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Монополием пэш!уек1орэ</w:t>
        <w:br/>
        <w:t>Федеральнэ къулыкъум</w:t>
        <w:br/>
        <w:t>Адыгэ РеспублкэмкТэ и</w:t>
        <w:br/>
        <w:t>Г ъэТорышТап!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Лениным иур.. 40, къ. Мыекъуапэ, 385000</w:t>
        <w:br/>
        <w:t>тел./факс: (8772) 57-05-22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е-тай: 1о01@Га8.§оу.ги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МКУ "ЦАТО"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385730, Республика Адыгея, п. Тульский,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Советская, 42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4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ткиса^о@едоV01.^и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"БРОКЕР ГРУПП"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740" w:line="240" w:lineRule="auto"/>
        <w:ind w:left="5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ооо4епдег.Ъгокег77@дтай.сот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  <w:br/>
        <w:t>по делу №001/06/48-532/2024 о нарушении законодательства</w:t>
        <w:br/>
        <w:t>о контрактной системе в сфере закупок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8688" w:val="left"/>
        </w:tabs>
        <w:bidi w:val="0"/>
        <w:spacing w:before="0" w:after="0" w:line="26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04 октября 2024 года</w:t>
        <w:tab/>
        <w:t>г. Майкоп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Резолютивная часть оглашена: 02.10.2024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в полном объеме изготовлено: 04.10.2024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Адыгея по контролю в сфере закупок (далее - Комиссия УФАС) в составе: заместителя председателя Комиссии УФАС - Блягоза Р.Х., начальника отдела Управления, членов Комиссии УФАС: Керашевой С.М., главного специалиста- эксперта, Клюкиной Н.А., ведущего специалиста-эксперта, в присутствии представителя Заказчика - Муниципального казенного учреждения «Центр административно-технического обслуживания» Логиновой Е.В. (доверенность от 27.09.2024 №9), рассмотрев жалобу заявителя ООО «БРОКЕР ГРУПП» (далее - Заявитель) на действия Заказчика - Муниципальное казенное учреждение «Центр административно-технического обслуживания» при проведении электронного конкурса №0376300021524000161 на выполнение работ по объекту: «Благоустройство территории администрации МО «Майкопский район» (далее - Конкурс), проведя внеплановую проверку на основании пункта 1 части 15 статьи 99 Федерального закона от 05.04.2013 № 44-ФЗ «О контрактной системе в сфере закупок товаров, работ, услуг для государственных и муниципальных нужд» (далее - Закон о контрактной системе)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4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Управление Федеральной антимонопольной службы по Республике Адыгея (далее - Адыгейское УФАС России) 25.09.2024 поступила жалоба Заявителя, в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  <w:sectPr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423" w:right="537" w:bottom="1231" w:left="1097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1111111111111111111111II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которой указано, что показатель не стоимостного критерия установленный Заказчиком, ставит в неравные условия отдельных хозяйствующих субъектов имеющих опыт выполнения аналогичных видов работ, и так же предоставляет необоснованное преимущество отдельным хозяйствующим субъектам, которые опыта по аналогичным закупкам не имеют.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изложенного, Заявитель просит признать жалобу обоснованной, провести внеплановую проверку, выдать предписание об устранении нарушений законодательства о контрактной системе в сфере закупок.</w:t>
      </w:r>
      <w:bookmarkEnd w:id="0"/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Представители сторон уведомлены надлежащим образом.</w:t>
      </w:r>
      <w:bookmarkEnd w:id="2"/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01.10.2024 в Адыгейское УФАС направлено возражение на доводы жалобы Заявителя (исх. №065-7/244 от 01.10.2024).</w:t>
      </w:r>
      <w:bookmarkEnd w:id="4"/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ходе рассмотрения доводов жалобы представитель Заказчика указала, что в Приложении №5 к извещению о закупке в «Порядке рассмотрения и оценки заявок на участие в конкурсе» для оценки заявок участников закупки установлен, в том числе, критерий «Квалификация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квалификации» с показателем «наличие у участников закупки опыта выполнения работы, связанного с предметом контракта» и детализирующими показателями «общая цена исполненных участником закупки договоров» и «общее количество исполненных участников закупки договоров».</w:t>
      </w:r>
      <w:bookmarkEnd w:id="6"/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пункте 3 Порядка рассмотрения и оценки заявок на участие в конкурсе установлен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подрядчика: работы по строительству некапитального строения, сооружения (строений, сооружений, благоустройству территории).</w:t>
      </w:r>
      <w:bookmarkEnd w:id="8"/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Постановление Правительства РФ от 31 декабря 2021 г. К 2604 создано для целей, указанных в ст. 32 Закона о контрактной системе и устанавливает порядок оценки заявок на участие в закупке. Данным постановлением однозначно не определено понятие сопоставимости работ, ввиду чего заказчики вправе самостоятельно определять сопоставимые с предметом контракта работы.</w:t>
      </w:r>
      <w:bookmarkEnd w:id="10"/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Порядок оценки заявок на участие в закупке определен Заказчиком в соответствии с требованиями ст. 32 Закона о контрактной системе и Положения, ввиду чего в действиях Заказчика отсутствуют нарушения Закона о контрактной системе (решение Управления Федеральной антимонопольной службы по Ивановской области от 22 марта 2023г. Ы №037/06/32-147/2023 (07-15/2023-073) (извещение №0133200001723000570).</w:t>
      </w:r>
      <w:bookmarkEnd w:id="12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Также представитель Заказчика отметила, что согласно письму Минфина России от 06.05.2022 К 24-06- 07/41956 Заказчик самостоятельно определяет с учетом специфики планируемой закупки необходимые требования к участникам закупки, в том числе к установлению соответствующего опыта у участника закупки, подлежащие оценке заказчиком, необходимые для поставки товара, выполнения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работ, оказания услуг, являющихся объектом закупки. Определение параметров сопоставимости характера и объема относится к компетенции заказчика. Заказчик самостоятельно устанавливает сопоставимость, исходя из предмета закупочной процедуры и цели получения наиболее качественного выполнения услуги.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 и проведения внеплановой проверки Комиссия УФАС установила следующее.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на официальном сайте единой информационной системы в сфере закупок /акир1&lt;1.доу.П1 (далее - Официальный сайт) 10.09.2024 размещено извещение о проведении Конкурса.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- 4 460 755 руб. 58 коп. ИКЗ - 243010401122201040100100590594399244.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о связи с позицией плана-графика - </w:t>
      </w:r>
      <w:r>
        <w:fldChar w:fldCharType="begin"/>
      </w:r>
      <w:r>
        <w:rPr/>
        <w:instrText> HYPERLINK "https://zakupki.gov.ru/epz/orderplan/pg2020/position-info.html?revision-id=15818349&amp;position-number=202403763000215002000060"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202403763000215002000060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Объектом закупки является выполнение работ по объекту: «Благоустройство территории администрации МО «Майкопский район».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4 части 1 статьи 32 Закона о контрактной системе для оценки заявок участников закупки заказчик использует критерий -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Частью 8 статьи 32 Закона о контрактной системе установлено, что порядок оценки заявок участников закупки, в том числе предельные величины значимости каждого критерия, устанавливается Правительством Российской Федерации.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Так, Постановлением Правительства Российской Федерации от 31.12.2021 К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20.12.2021 К 2369 и признании утратившими силу некоторых актов и отдельных положений некоторых актов Правительства Российской Федерации» утверждено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Положение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 оценке заявок на участие в закупке товаров, работ, услуг для обеспечения государственных и муниципальных нужд (далее - Положение).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3 Положения для оценки заявок применяются следующие критерии оценки: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2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цена контракта, сумма цен единиц товара, работы, услуги;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расходы;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характеристики объекта закупки;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3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квалификация участников закупки.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24 Положения для оценки заявок по критерию оценки «квалификация участников закупки» могут применяться, если иное не предусмотрено настоящим Положением, один или несколько из следующих показателей оценки: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2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финансовых ресурсов;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02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наличие у участников закупки на праве собственности или ином законном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основании оборудования и других материальных ресурсов;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8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опыта поставки товара, выполнения работы, оказания услуги, связанного с предметом контракта;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4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деловой репутации;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специалистов и иных работников определенного уровня квалификации.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Пунктом 25 Положения установлено, что для оценки заявок по показателям оценки, предусмотренным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пунктом 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Положения, применяются детализирующие показатели.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подпунктом «а» пункта 28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Положения в случае применения показателя оценки, предусмотренного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подпунктом «в» пункта 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Положения, применяются один или несколько из следующих детализирующих показателей оценки: "Общая цена исполненных участником закупки договоров"; "Общее количество исполненных участником закупки договоров"; "Наибольшая цена одного из исполненных участником закупки договоров".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подпункту «в» пункта 28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Положения в случае применения показателя оценки, предусмотренного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подпунктом «в» пункта 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Положения, наличие у участника закупки опыта поставки товара, выполнения работы, оказания услуги, связанного с предметом контракта подтверждается, в том числе исполненным договором (договорами), актом (актами) приемки поставленного товара, выполненной работы, оказанной услуги, составленные при исполнении такого договора (договоров).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Часть 2 статьи 8 Закона о контрактной системе запрещается установление требований, которые приводят к ограничению конкуренции, в частности к необоснованному ограничению числа участников закупок.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для оценки заявок по критерию оценки «Квалификация участников закупки» в отношении показателя «Наличие у участников закупки опыта поставки товара, выполнения работы, оказания услуги, связанного с предметом контракта», участником закупки может быть предоставлен любой исполненный договор (договоры) сопоставимого характера с предметом планируемой закупки.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Так, в пункте 3 Приложения №5 к Извещению о проведении закупки Заказчиком установлен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подрядчика: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работы по строительству некапитального строения, сооружения (строений, сооружений, благоустройству территории).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УФАС рассмотрев доводы жалобы Заявителя, установила, что действия Заказчика не противоречат требованиям законодательства о контрактной системе в сфере закупок.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на заседание Комиссии УФАС Заявитель явку своих представителей не обеспечил, а также не представил информацию и документов, подтверждающих обоснованность довода жалобы, следовательно, жалоба является необоснованной.</w:t>
      </w:r>
      <w:r>
        <w:br w:type="page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Руководствуясь статьями 99, 106 Федерального закона от 05.04.2013 №44-ФЗ «О контрактной системе в сфере закупок товаров, работ, услуг для государственных и муниципальных нужд», Комиссия УФАС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«БРОКЕР ГРУПП» необоснованной.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headerReference w:type="default" r:id="rId10"/>
          <w:footerReference w:type="default" r:id="rId11"/>
          <w:footnotePr>
            <w:pos w:val="pageBottom"/>
            <w:numFmt w:val="decimal"/>
            <w:numRestart w:val="continuous"/>
          </w:footnotePr>
          <w:pgSz w:w="11900" w:h="16840"/>
          <w:pgMar w:top="1662" w:right="540" w:bottom="1254" w:left="110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92100" distB="359410" distL="0" distR="0" simplePos="0" relativeHeight="125829382" behindDoc="0" locked="0" layoutInCell="1" allowOverlap="1">
                <wp:simplePos x="0" y="0"/>
                <wp:positionH relativeFrom="page">
                  <wp:posOffset>742950</wp:posOffset>
                </wp:positionH>
                <wp:positionV relativeFrom="paragraph">
                  <wp:posOffset>292100</wp:posOffset>
                </wp:positionV>
                <wp:extent cx="2776855" cy="2501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7685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Заместитель председателя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8.5pt;margin-top:23.pt;width:218.65000000000001pt;height:19.699999999999999pt;z-index:-125829371;mso-wrap-distance-left:0;mso-wrap-distance-top:23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Заместитель председателя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65125" distB="0" distL="0" distR="1786255" simplePos="0" relativeHeight="125829384" behindDoc="0" locked="0" layoutInCell="1" allowOverlap="1">
            <wp:simplePos x="0" y="0"/>
            <wp:positionH relativeFrom="page">
              <wp:posOffset>3653790</wp:posOffset>
            </wp:positionH>
            <wp:positionV relativeFrom="paragraph">
              <wp:posOffset>365125</wp:posOffset>
            </wp:positionV>
            <wp:extent cx="353695" cy="536575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4110990</wp:posOffset>
                </wp:positionH>
                <wp:positionV relativeFrom="paragraph">
                  <wp:posOffset>767715</wp:posOffset>
                </wp:positionV>
                <wp:extent cx="1280160" cy="1035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323.69999999999999pt;margin-top:60.450000000000003pt;width:100.8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4068445</wp:posOffset>
                </wp:positionH>
                <wp:positionV relativeFrom="paragraph">
                  <wp:posOffset>456565</wp:posOffset>
                </wp:positionV>
                <wp:extent cx="1722120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320.35000000000002pt;margin-top:35.950000000000003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44830" distB="137160" distL="0" distR="0" simplePos="0" relativeHeight="125829385" behindDoc="0" locked="0" layoutInCell="1" allowOverlap="1">
                <wp:simplePos x="0" y="0"/>
                <wp:positionH relativeFrom="page">
                  <wp:posOffset>5918200</wp:posOffset>
                </wp:positionH>
                <wp:positionV relativeFrom="paragraph">
                  <wp:posOffset>544830</wp:posOffset>
                </wp:positionV>
                <wp:extent cx="865505" cy="21971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6550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Р.Х. Блягоз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66.pt;margin-top:42.899999999999999pt;width:68.150000000000006pt;height:17.300000000000001pt;z-index:-125829368;mso-wrap-distance-left:0;mso-wrap-distance-top:42.899999999999999pt;mso-wrap-distance-right:0;mso-wrap-distance-bottom:10.800000000000001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Р.Х. Блягоз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2626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Блягоз Рамазан Хазретович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00В862ОАВВ642Е9283А2О1АЕ75А8719О9В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2626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15.12.2023 </w:t>
      </w:r>
      <w:r>
        <w:rPr>
          <w:color w:val="8A8A8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09.03.2025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right="551" w:bottom="6970" w:left="111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356235" distL="0" distR="0" simplePos="0" relativeHeight="125829387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88900</wp:posOffset>
                </wp:positionV>
                <wp:extent cx="1341120" cy="25019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58.pt;margin-top:7.pt;width:105.60000000000001pt;height:19.699999999999999pt;z-index:-125829366;mso-wrap-distance-left:0;mso-wrap-distance-top:7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1925" distB="0" distL="0" distR="1786255" simplePos="0" relativeHeight="125829389" behindDoc="0" locked="0" layoutInCell="1" allowOverlap="1">
            <wp:simplePos x="0" y="0"/>
            <wp:positionH relativeFrom="page">
              <wp:posOffset>3653790</wp:posOffset>
            </wp:positionH>
            <wp:positionV relativeFrom="paragraph">
              <wp:posOffset>161925</wp:posOffset>
            </wp:positionV>
            <wp:extent cx="353695" cy="536575"/>
            <wp:wrapTopAndBottom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4110990</wp:posOffset>
                </wp:positionH>
                <wp:positionV relativeFrom="paragraph">
                  <wp:posOffset>561340</wp:posOffset>
                </wp:positionV>
                <wp:extent cx="1280160" cy="1035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323.69999999999999pt;margin-top:44.200000000000003pt;width:100.8pt;height:8.15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4068445</wp:posOffset>
                </wp:positionH>
                <wp:positionV relativeFrom="paragraph">
                  <wp:posOffset>250190</wp:posOffset>
                </wp:positionV>
                <wp:extent cx="1722120" cy="2559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320.35000000000002pt;margin-top:19.699999999999999pt;width:135.59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356235" distL="0" distR="0" simplePos="0" relativeHeight="125829390" behindDoc="0" locked="0" layoutInCell="1" allowOverlap="1">
                <wp:simplePos x="0" y="0"/>
                <wp:positionH relativeFrom="page">
                  <wp:posOffset>5924550</wp:posOffset>
                </wp:positionH>
                <wp:positionV relativeFrom="paragraph">
                  <wp:posOffset>88900</wp:posOffset>
                </wp:positionV>
                <wp:extent cx="1176655" cy="25019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665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С.М. Керашева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466.5pt;margin-top:7.pt;width:92.650000000000006pt;height:19.699999999999999pt;z-index:-125829363;mso-wrap-distance-left:0;mso-wrap-distance-top:7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С.М. Керашева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2626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Керашева Сусана Муратовна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00А630ОА9СС9Е0В6В9А14А989В57ЕЕЮ1В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color w:val="62626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2626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11.10.2023 </w:t>
      </w:r>
      <w:r>
        <w:rPr>
          <w:color w:val="8A8A8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03.01.2025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left"/>
      </w:pPr>
      <w:r>
        <w:drawing>
          <wp:anchor distT="0" distB="0" distL="114300" distR="1900555" simplePos="0" relativeHeight="125829392" behindDoc="0" locked="0" layoutInCell="1" allowOverlap="1">
            <wp:simplePos x="0" y="0"/>
            <wp:positionH relativeFrom="page">
              <wp:posOffset>3656965</wp:posOffset>
            </wp:positionH>
            <wp:positionV relativeFrom="paragraph">
              <wp:posOffset>63500</wp:posOffset>
            </wp:positionV>
            <wp:extent cx="347345" cy="396240"/>
            <wp:wrapSquare wrapText="right"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ext cx="34734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4068445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320.35000000000002pt;margin-top:11.950000000000001pt;width:135.59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Н.А. Клюкина</w:t>
      </w:r>
    </w:p>
    <w:p>
      <w:pPr>
        <w:pStyle w:val="Style2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5360"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right="0" w:firstLine="0"/>
        <w:jc w:val="left"/>
      </w:pPr>
      <w:r>
        <w:rPr>
          <w:color w:val="62626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КЛЮКИНА НАТАЛЬЯ АЛЕКСАНДРОВНА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>06А19586Е106В731АА60ЕЕЕ052Е7616С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180" w:line="276" w:lineRule="auto"/>
        <w:ind w:right="0" w:firstLine="0"/>
        <w:jc w:val="left"/>
      </w:pPr>
      <w:r>
        <w:rPr>
          <w:color w:val="62626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26262"/>
          <w:spacing w:val="0"/>
          <w:w w:val="100"/>
          <w:position w:val="0"/>
          <w:shd w:val="clear" w:color="auto" w:fill="auto"/>
          <w:lang w:val="ru-RU" w:eastAsia="ru-RU" w:bidi="ru-RU"/>
        </w:rPr>
        <w:t>20.03.2024 по 13.06.2025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6" w:right="551" w:bottom="1666" w:left="111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2024-3196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pt;margin-top:776.20000000000005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2024-3196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10016490</wp:posOffset>
              </wp:positionV>
              <wp:extent cx="648970" cy="10033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2024-3196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7.050000000000004pt;margin-top:788.70000000000005pt;width:51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2024-3196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759460</wp:posOffset>
              </wp:positionV>
              <wp:extent cx="67310" cy="10350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9.05000000000001pt;margin-top:59.800000000000004pt;width:5.2999999999999998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19B"/>
      <w:sz w:val="16"/>
      <w:szCs w:val="16"/>
      <w:u w:val="none"/>
    </w:rPr>
  </w:style>
  <w:style w:type="character" w:customStyle="1" w:styleId="CharStyle6">
    <w:name w:val="Основной текст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19B"/>
      <w:sz w:val="19"/>
      <w:szCs w:val="19"/>
      <w:u w:val="none"/>
    </w:rPr>
  </w:style>
  <w:style w:type="character" w:customStyle="1" w:styleId="CharStyle8">
    <w:name w:val="Основной текст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2">
    <w:name w:val="Подпись к картинке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character" w:customStyle="1" w:styleId="CharStyle15">
    <w:name w:val="Колонтитул (2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8">
    <w:name w:val="Основной текст (5)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22">
    <w:name w:val="Заголовок №1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6">
    <w:name w:val="Основной текст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line="269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19B"/>
      <w:sz w:val="16"/>
      <w:szCs w:val="16"/>
      <w:u w:val="none"/>
    </w:rPr>
  </w:style>
  <w:style w:type="paragraph" w:customStyle="1" w:styleId="Style5">
    <w:name w:val="Основной текст (4)"/>
    <w:basedOn w:val="Normal"/>
    <w:link w:val="CharStyle6"/>
    <w:pPr>
      <w:widowControl w:val="0"/>
      <w:shd w:val="clear" w:color="auto" w:fill="auto"/>
      <w:spacing w:after="250" w:line="257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19B"/>
      <w:sz w:val="19"/>
      <w:szCs w:val="19"/>
      <w:u w:val="none"/>
    </w:rPr>
  </w:style>
  <w:style w:type="paragraph" w:customStyle="1" w:styleId="Style7">
    <w:name w:val="Основной текст"/>
    <w:basedOn w:val="Normal"/>
    <w:link w:val="CharStyle8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1">
    <w:name w:val="Подпись к картинке"/>
    <w:basedOn w:val="Normal"/>
    <w:link w:val="CharStyle12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paragraph" w:customStyle="1" w:styleId="Style14">
    <w:name w:val="Колонтитул (2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7">
    <w:name w:val="Основной текст (5)"/>
    <w:basedOn w:val="Normal"/>
    <w:link w:val="CharStyle18"/>
    <w:pPr>
      <w:widowControl w:val="0"/>
      <w:shd w:val="clear" w:color="auto" w:fill="auto"/>
      <w:spacing w:after="2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1">
    <w:name w:val="Заголовок №1"/>
    <w:basedOn w:val="Normal"/>
    <w:link w:val="CharStyle22"/>
    <w:pPr>
      <w:widowControl w:val="0"/>
      <w:shd w:val="clear" w:color="auto" w:fill="auto"/>
      <w:ind w:firstLine="64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5">
    <w:name w:val="Основной текст (2)"/>
    <w:basedOn w:val="Normal"/>
    <w:link w:val="CharStyle26"/>
    <w:pPr>
      <w:widowControl w:val="0"/>
      <w:shd w:val="clear" w:color="auto" w:fill="auto"/>
      <w:ind w:left="46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header" Target="header1.xml"/><Relationship Id="rId11" Type="http://schemas.openxmlformats.org/officeDocument/2006/relationships/footer" Target="footer2.xml"/><Relationship Id="rId12" Type="http://schemas.openxmlformats.org/officeDocument/2006/relationships/image" Target="media/image3.jpeg"/><Relationship Id="rId13" Type="http://schemas.openxmlformats.org/officeDocument/2006/relationships/image" Target="media/image3.jpeg" TargetMode="External"/><Relationship Id="rId14" Type="http://schemas.openxmlformats.org/officeDocument/2006/relationships/image" Target="media/image4.jpeg"/><Relationship Id="rId15" Type="http://schemas.openxmlformats.org/officeDocument/2006/relationships/image" Target="media/image4.jpeg" TargetMode="External"/><Relationship Id="rId16" Type="http://schemas.openxmlformats.org/officeDocument/2006/relationships/image" Target="media/image5.jpeg"/><Relationship Id="rId17" Type="http://schemas.openxmlformats.org/officeDocument/2006/relationships/image" Target="media/image5.jpeg" TargetMode="External"/></Relationships>
</file>