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68350" cy="83502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68350" cy="8350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40" w:line="254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  <w:bookmarkEnd w:id="0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 xml:space="preserve">по жалобе 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066/06/105-3744/2024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tabs>
          <w:tab w:pos="8366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  <w:tab/>
        <w:t>01.10.2024 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(далее по тексту - Комиссия)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использования интернет-видеоконференции, которая обеспечивает возможность участия сторон, в 14-00, при участии представителей: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в лице Муниципального унитарного предприятия «Красноуральское теплоснабжающее предприятие» — *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жалобы ООО «Мак-технолоджис» — *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«Мак-технолоджис» (вх. № 21220/24 от 30.09.2024) о нарушении заказчиком в лице Муниципального унитарного предприятия «Красноуральское теплоснабжающее предприятие» при осуществлении закупки путем проведения запроса котировок в электронной форме на поставку реагента СК110 (извещение № 0562600038124000024),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</w:t>
        <w:tab/>
        <w:t>106 Закона 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системе,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  <w:bookmarkEnd w:id="4"/>
    </w:p>
    <w:p>
      <w:pPr>
        <w:pStyle w:val="Style6"/>
        <w:keepNext w:val="0"/>
        <w:keepLines w:val="0"/>
        <w:widowControl w:val="0"/>
        <w:shd w:val="clear" w:color="auto" w:fill="auto"/>
        <w:tabs>
          <w:tab w:pos="37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Свердловской области поступила жалоба ООО «Мак-технолоджис» (вх. № 21220/24 от 30.09.2024) о нарушении заказчиком в лице Муниципального унитарного предприятия «Красноуральское теплоснабжающее предприятие» при осуществлении закупки путем проведения запроса котировок в электронной форме на поставку реагента СК110 (извещение №</w:t>
        <w:tab/>
        <w:t>0562600038124000024), Закона о контрактной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соответствующая требованиям ст.105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указал, что извещение о проведении запроса котировок в электронной форме № 0562600038124000024 содержит указание на наименование реагента, однако отсутствует сопровождение такого указания словами «или эквивалент».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 с доводами жалобы не согласились, просили признать жалобу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21.09.2024 г. на официальном сайте Единой информационной системы было опубликовано извещение о проведении запроса котировок в электронной форме № 0562600038124000024 на поставку реагента СК110.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составила 95 000,00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1 ст. 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3 или пунктом 4,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описание объекта закупки в соответствии со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статьей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ч. 1 ст.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</w:t>
      </w:r>
      <w:r>
        <w:fldChar w:fldCharType="begin"/>
      </w:r>
      <w:r>
        <w:rPr/>
        <w:instrText> HYPERLINK "https://www.consultant.ru/document/cons_doc_LAW_455372/b4ac8e685c82491918ee4ebea733c06b7bd0f9af/%23dst100008"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порядок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его формирования утверждаются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 требованиями, указанными 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части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 (ч. 2 ст. 33 Закона о контрактной системе).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описание объекта закупки устанавливается заказчиком самостоятельно, исходя из его потребностей, а также в соответствии с обязательными требованиями к описанию объекта закупки, предусмотренными ст.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Структурированной формой извещения установлено, что наименованием объекта закупки является: «поставка реагента СК110».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п. 5.2 приложения к структурированной форме извещения «Описание объекта закупки» определены функциональные, технические и качественные характеристики, эксплуатационные характеристики (при необходимости), поставляемого товара, а именно:</w:t>
      </w:r>
    </w:p>
    <w:tbl>
      <w:tblPr>
        <w:tblOverlap w:val="never"/>
        <w:jc w:val="center"/>
        <w:tblLayout w:type="fixed"/>
      </w:tblPr>
      <w:tblGrid>
        <w:gridCol w:w="571"/>
        <w:gridCol w:w="1565"/>
        <w:gridCol w:w="1704"/>
        <w:gridCol w:w="1123"/>
        <w:gridCol w:w="1843"/>
        <w:gridCol w:w="3979"/>
      </w:tblGrid>
      <w:tr>
        <w:trPr>
          <w:trHeight w:val="523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Код позиции КТРУ/ОКПД2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объекта закупки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Кол-во, ед.изм-я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Показатели, установленные в соответствии с частью 2 статьи 33 Закона о контрактной системе</w:t>
            </w:r>
          </w:p>
        </w:tc>
      </w:tr>
      <w:tr>
        <w:trPr>
          <w:trHeight w:val="51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</w:tr>
      <w:tr>
        <w:trPr>
          <w:trHeight w:val="51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20.29.59.900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Реагент СК-100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250кг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Среда использования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Системы теплоснабжения и ГВС</w:t>
            </w:r>
          </w:p>
        </w:tc>
      </w:tr>
      <w:tr>
        <w:trPr>
          <w:trHeight w:val="10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Внешний вид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68" w:val="left"/>
                <w:tab w:pos="209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Прозрачная</w:t>
              <w:tab/>
              <w:t>или</w:t>
              <w:tab/>
              <w:t>слабоокрашенная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жидкость с характерным запахом. Допускается небольшое помутнение или выпадение осадка.</w:t>
            </w:r>
          </w:p>
        </w:tc>
      </w:tr>
      <w:tr>
        <w:trPr>
          <w:trHeight w:val="1536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3739" w:val="righ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Удаляет железоокисные, известковые, карбонатные и других отложений неорганического</w:t>
              <w:tab/>
              <w:t>происхождения.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4" w:val="left"/>
                <w:tab w:pos="3749" w:val="righ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отложения с нержавеющих сталей, при этом</w:t>
              <w:tab/>
              <w:t>эффективно</w:t>
              <w:tab/>
              <w:t>защищая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поверхность.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344170" distL="114300" distR="114300" simplePos="0" relativeHeight="125829378" behindDoc="0" locked="0" layoutInCell="1" allowOverlap="1">
                <wp:simplePos x="0" y="0"/>
                <wp:positionH relativeFrom="page">
                  <wp:posOffset>530860</wp:posOffset>
                </wp:positionH>
                <wp:positionV relativeFrom="margin">
                  <wp:posOffset>3175</wp:posOffset>
                </wp:positionV>
                <wp:extent cx="6849110" cy="1307465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49110" cy="130746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571"/>
                              <w:gridCol w:w="1565"/>
                              <w:gridCol w:w="1694"/>
                              <w:gridCol w:w="1133"/>
                              <w:gridCol w:w="1843"/>
                              <w:gridCol w:w="3979"/>
                            </w:tblGrid>
                            <w:tr>
                              <w:trPr>
                                <w:tblHeader/>
                                <w:trHeight w:val="773" w:hRule="exact"/>
                              </w:trPr>
                              <w:tc>
                                <w:tcPr>
                                  <w:vMerge w:val="restart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vMerge w:val="restart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vMerge w:val="restart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vMerge w:val="restart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ru-RU" w:eastAsia="ru-RU" w:bidi="ru-RU"/>
                                    </w:rPr>
                                    <w:t>Состав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344" w:val="left"/>
                                      <w:tab w:pos="2405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ru-RU" w:eastAsia="ru-RU" w:bidi="ru-RU"/>
                                    </w:rPr>
                                    <w:t>Комплекс</w:t>
                                    <w:tab/>
                                    <w:t>кислот</w:t>
                                    <w:tab/>
                                    <w:t>Эффективные</w:t>
                                  </w:r>
                                </w:p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2405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ru-RU" w:eastAsia="ru-RU" w:bidi="ru-RU"/>
                                    </w:rPr>
                                    <w:t>ингибиторы коррозии</w:t>
                                    <w:tab/>
                                    <w:t>Комплексоны</w:t>
                                  </w:r>
                                </w:p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ru-RU" w:eastAsia="ru-RU" w:bidi="ru-RU"/>
                                    </w:rPr>
                                    <w:t>Поверхностно-активные вещества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286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ru-RU" w:eastAsia="ru-RU" w:bidi="ru-RU"/>
                                    </w:rPr>
                                    <w:t>Описание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ru-RU" w:eastAsia="ru-RU" w:bidi="ru-RU"/>
                                    </w:rPr>
                                    <w:t>Активный промышленный очиститель на основе комплекса кислот для удаления железоокисных, известковых, карбонатных, и т.п. отложений с нержавеющих сталей.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1.800000000000004pt;margin-top:0.25pt;width:539.29999999999995pt;height:102.95pt;z-index:-125829375;mso-wrap-distance-left:9.pt;mso-wrap-distance-right:9.pt;mso-wrap-distance-bottom:27.100000000000001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571"/>
                        <w:gridCol w:w="1565"/>
                        <w:gridCol w:w="1694"/>
                        <w:gridCol w:w="1133"/>
                        <w:gridCol w:w="1843"/>
                        <w:gridCol w:w="3979"/>
                      </w:tblGrid>
                      <w:tr>
                        <w:trPr>
                          <w:tblHeader/>
                          <w:trHeight w:val="773" w:hRule="exact"/>
                        </w:trPr>
                        <w:tc>
                          <w:tcPr>
                            <w:vMerge w:val="restart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vMerge w:val="restart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vMerge w:val="restart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vMerge w:val="restart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Состав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44" w:val="left"/>
                                <w:tab w:pos="240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Комплекс</w:t>
                              <w:tab/>
                              <w:t>кислот</w:t>
                              <w:tab/>
                              <w:t>Эффективные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40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ингибиторы коррозии</w:t>
                              <w:tab/>
                              <w:t>Комплексоны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Поверхностно-активные вещества</w:t>
                            </w:r>
                          </w:p>
                        </w:tc>
                      </w:tr>
                      <w:tr>
                        <w:trPr>
                          <w:trHeight w:val="1286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Описание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Активный промышленный очиститель на основе комплекса кислот для удаления железоокисных, известковых, карбонатных, и т.п. отложений с нержавеющих сталей.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698500</wp:posOffset>
                </wp:positionH>
                <wp:positionV relativeFrom="margin">
                  <wp:posOffset>1313815</wp:posOffset>
                </wp:positionV>
                <wp:extent cx="6148070" cy="341630"/>
                <wp:wrapNone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48070" cy="341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Представители заказчика на заседании Комиссии пояснили, что закупка реагента СК-110 осуществляется в рамках закупки расходных материалов к действующему котлу.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55.pt;margin-top:103.45pt;width:484.10000000000002pt;height:26.900000000000002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Представители заказчика на заседании Комиссии пояснили, что закупка реагента СК-110 осуществляется в рамках закупки расходных материалов к действующему котлу.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2020 г. предприятием по результатам выполнения работ по обследованию водоподготовительной установки и водно-химического режима на соответствие требованиям руководящих документов, наладке ВПУ и ВХР, разработке инструкций и режимных карт по эксплуатации установки докотловой обработки воды и ведению водно-химического режима водогрейных котлов котельной «Пристрой» был получен от специализированной организации технический отчет, по результатам которого была подобрана точная дозировка ввода реагента СК-110, составлен график и указаны методы контроля эффективности дозирования указанного реагента.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33" w:val="left"/>
          <w:tab w:pos="87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согласно письму ООО «ЭкоХимРеагент-96» от 10.09.2024.</w:t>
        <w:tab/>
        <w:t>№</w:t>
        <w:tab/>
        <w:t>1009/2024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производитель регента не может гарантировать совместимость требуемого Заказчику реагента с компонентами, входящими в состав других реагентов. Замена требуемого реагента на иной влечет за собой слив теплоносителя из тепловой сети, что приведет к прекращению подачи отопления на многоквартирные дома и социально-значимые объекты (детские сады, школы, поликлиника, больница) и возможному размораживанию системы отопления микрорайона в климатических условиях Урала, и возникновению чрезвычайной ситуации.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отмечает, что, исходя из положений статьи 33 Закона о контрактной системе, при описании объекта закупки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потребности, с учетом специфики его деятельности и в целях обеспечения эффективного использования бюджетных средств.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вправе включить в извещение об осуществлении закупки такие характеристики и требования к товарам, которые отвечают его потребностям и необходимы для выполнения соответствующих функций, что не может рассматриваться как ограничение круга потенциальных участников закупки. При этом заказчик вправе в необходимой степени детализировать предмет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системного толкования норм законодательства в сфере осуществления закупок следует, что на сегодняшний день законодательство в сфере осуществления закупок допускает самостоятельное формирование заказчиком объекта закупки, исходя из потребностей последнего. В частности, при описании объекта закупки заказчик вправе указывать качественные параметры к товарам, которые являются определяющими для него; он не лишен возможности более точно и четко указывать требования к закупаемому товару, в том числе, в данной ситуации, и к его составу.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 о контрактной системе не обязывает заказчика при определении характеристик поставляемого товара устанавливать такие характеристики, которые соответствовали бы всем существующим типам, видам, моделям, маркам товара, не предусматривает ограничения по включению в извещение об осуществлении закупки требований к товарам, являющихся значимыми для заказчика, равно как и не предусматривает обязанность заказчика в извещении об осуществлении закупки обосновывать свои потребности и причины при установлении требований к товарам и их характеристикам.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заказчиком в извещении установлены требования к товару с учетом собственных потребностей и исходя из специфики осуществляемой деятельности в связи с чем Комиссия делает вывод о том, что доводы заявителя, указанные в жалобе,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пришла к выводу об отсутствии в действиях заказчика нарушений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руководствуясь ст. 99, ч. 8 ст. 106 Закона о контрактной системе, Комиссия,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  <w:bookmarkEnd w:id="6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34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1165225</wp:posOffset>
                </wp:positionH>
                <wp:positionV relativeFrom="paragraph">
                  <wp:posOffset>12700</wp:posOffset>
                </wp:positionV>
                <wp:extent cx="115570" cy="173990"/>
                <wp:wrapSquare wrapText="righ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91.75pt;margin-top:1.pt;width:9.0999999999999996pt;height:13.7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ООО «Мак-технолоджис» признать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</w:t>
        <w:tab/>
        <w:t>В действиях заказчика в лице Муниципального унитарного предприятия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«Красноуральское теплоснабжающее предприятие», закупочной комиссии нарушений Закона о контрактной системе не выявлено.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</w:t>
        <w:tab/>
        <w:t>Заказчику в лице Муниципального унитарного предприятия «Красноуральское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теплоснабжающее предприятие», его комиссии предписание об устранении нарушений законодательства о контрактной системе не выдавать.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492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*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492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*</w:t>
      </w:r>
    </w:p>
    <w:sectPr>
      <w:headerReference w:type="default" r:id="rId7"/>
      <w:headerReference w:type="first" r:id="rId8"/>
      <w:footnotePr>
        <w:pos w:val="pageBottom"/>
        <w:numFmt w:val="decimal"/>
        <w:numRestart w:val="continuous"/>
      </w:footnotePr>
      <w:pgSz w:w="11900" w:h="16840"/>
      <w:pgMar w:top="1129" w:right="1104" w:bottom="1158" w:left="1096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3740785</wp:posOffset>
              </wp:positionH>
              <wp:positionV relativeFrom="page">
                <wp:posOffset>485140</wp:posOffset>
              </wp:positionV>
              <wp:extent cx="6731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294.55000000000001pt;margin-top:38.200000000000003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Подпись к таблице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Подпись к таблице"/>
    <w:basedOn w:val="Normal"/>
    <w:link w:val="CharStyle5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spacing w:after="20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