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3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4,10,2024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НП/12704/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"Шпаковская районная больница"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356240, Ставропольский край, Шпаковский р-н, Михайловск г, улица Ленина, 1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8ЪсгЪ@тай.ги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Пудловская Кристина Игоревна 614083, г. Пермь, ул. Холмогорская, 9, кв. 48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906" w:bottom="1231" w:left="1140" w:header="0" w:footer="3" w:gutter="0"/>
          <w:pgNumType w:start="1"/>
          <w:cols w:num="2" w:space="677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р11с11о\'4&lt;ауа@т1&lt;оГаппрепп.п1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2340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026/06/106-2340/2024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6137275</wp:posOffset>
                </wp:positionH>
                <wp:positionV relativeFrom="paragraph">
                  <wp:posOffset>190500</wp:posOffset>
                </wp:positionV>
                <wp:extent cx="1057910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3.25pt;margin-top:15.pt;width:83.299999999999997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о закупках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27.09.2024 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Ставропольскому краю по контролю в сфере закупок (далее -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начальника отдела контроля закупок Управления Федеральной антимонопольной службы по Ставропольскому краю Пызиной Н.Г., Членов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представителей уведомленных надлежащим образом о времени и месте рассмотрения жалобы.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ИП Пудловской К.И. на действия заказчика — ГБУЗ СК "Шпаковская районная болница", по факту осуществления закупки путем проведения открытого аукциона в электронной форме № 0321300035824000289 «Поставка расходных материалов (подключичные катетеры, заявка на 2025 год)».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проанализировав имеющиеся в деле документы, проведя в соответствии со ст. 99 Закона № 44-ФЗ внеплановую проверку закупки установила: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06.09.2024 г. заказчиком в ЕИС было размещено извещение о проведении открытого электронного аукциона №0321300035824000289 «Поставка расходных материалов (подключичные катетеры, заявка на 2025 год)».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НМЦК 521837,10 руб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извещения объектом закупки является - Набор для катетеризации центральных вен, кратковременного использования Идентификатор: 160509661 и 160509662.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заявитель указывает на то что, в извещении допущены существенные нарушения, которые не позволяют участникам закупки однозначно определить потребность заказчика, а именно отсутствует указание на необходимый диаметр катетера в Гейдж.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же в доводах жалобы содержится указание на то что «..ранее Заказчиком был дан ответ на запрос разъяснения положений документации об электронном аукционе от 11.09.2024 и 13.09.2024, согласно которому Заказчик согласился с необходимостью внесения вышеуказанного показателя, однако не внес изменение в извещение о закупке»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п.п. 1, 3 ч. 2 ст. 42 Закона № 44-ФЗ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соответствии со статьей 33 настоящего Федерального закона;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2 ст. 33 Закона № 44-ФЗ Заказчик в случаях, предусмотренных Федеральным законом, при описании объекта закупки должен руководствоваться следующими правилами: описание объекта закупки в соответствии с требованиями, указанными в части 1 ст. 33 Закона № 44-ФЗ,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в ходе заседания Комиссии Ставропольского УФАС России указал, что 13.09.2024 г. все необходимые изменения в извещение внесены.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позиции сторон, проведя анализ представленных в материалы дела документов, комиссия пришла к следующему выводу: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сведениям из ЕИС Заказчиком было размещено изменение извещения о проведении аукциона в электронной форме от 13.09.2024 №ИИ1,согласно которому в графе «значение характеристики» содержится указание на необходимый параметр - «18 Гейдж».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протокола подведения итогов определения поставщика (подрядчика, исполнителя) от 25.09.2024 №ИЭА1, на участие в аукционе было подано 4 заявки, все заявки признаны соответствующими.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Ставропольского УФАС России приходит к выводу о не обоснованности жалобы.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105 Федерального закона от 05.04.2013 года</w:t>
      </w: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ИП Пудловской К.И. на действия заказчика — ГБУЗ СК "Шпаковская районная болница", по факту осуществления закупки путем проведения открытого аукциона в электронной форме № 0321300035824000289 «Поставка расходных материалов (подключичные катетеры, заявка на 2025 год)» - 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32" w:bottom="1231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0520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82880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950000000000003pt;margin-top:7.pt;width:144.pt;height:19.699999999999999pt;z-index:-125829373;mso-wrap-distance-left:0;mso-wrap-distance-top:7.pt;mso-wrap-distance-right:0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3035" distB="0" distL="0" distR="1786255" simplePos="0" relativeHeight="125829382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153035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555625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40000000000001pt;margin-top:43.75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244475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5000000000001pt;margin-top:19.2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137795" distL="0" distR="0" simplePos="0" relativeHeight="125829383" behindDoc="0" locked="0" layoutInCell="1" allowOverlap="1">
                <wp:simplePos x="0" y="0"/>
                <wp:positionH relativeFrom="page">
                  <wp:posOffset>6222365</wp:posOffset>
                </wp:positionH>
                <wp:positionV relativeFrom="paragraph">
                  <wp:posOffset>341630</wp:posOffset>
                </wp:positionV>
                <wp:extent cx="969010" cy="21018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Н.Г. Пызина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9.94999999999999pt;margin-top:26.900000000000002pt;width:76.299999999999997pt;height:16.550000000000001pt;z-index:-125829370;mso-wrap-distance-left:0;mso-wrap-distance-top:26.900000000000002pt;mso-wrap-distance-right:0;mso-wrap-distance-bottom:10.8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Н.Г. Пызина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Пызина Наталья Геннадьевна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00ВС6ВЕЕОЕС50Е60775С5ЕАО83Е9338В6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08.09.2023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01.12.2024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40000000000001pt;margin-top:36.7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5000000000001pt;margin-top:12.2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 Карпель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Карлель Бэлла Шамилевна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00ВЕ2ОЗЕС52Е1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ОА63А577ОЕСАВ4ЮЗЕ72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07.02.2024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02.05.2025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2693035</wp:posOffset>
            </wp:positionH>
            <wp:positionV relativeFrom="paragraph">
              <wp:posOffset>177800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3150235</wp:posOffset>
                </wp:positionH>
                <wp:positionV relativeFrom="paragraph">
                  <wp:posOffset>577215</wp:posOffset>
                </wp:positionV>
                <wp:extent cx="128651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8.05000000000001pt;margin-top:45.450000000000003pt;width:101.3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3107690</wp:posOffset>
                </wp:positionH>
                <wp:positionV relativeFrom="paragraph">
                  <wp:posOffset>266065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4.70000000000002pt;margin-top:20.949999999999999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 Калиниченко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6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3160"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тел.8(8652) 35-28-07, вн.026-140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7194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2024-14245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8.70000000000005pt;width:56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2024-14245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94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2024-14245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2024-14245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character" w:customStyle="1" w:styleId="CharStyle24">
    <w:name w:val="Основной текст (5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8">
    <w:name w:val="Заголовок №1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30">
    <w:name w:val="Основной текст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7">
    <w:name w:val="Заголовок №1"/>
    <w:basedOn w:val="Normal"/>
    <w:link w:val="CharStyle28"/>
    <w:pPr>
      <w:widowControl w:val="0"/>
      <w:shd w:val="clear" w:color="auto" w:fill="auto"/>
      <w:spacing w:after="1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9">
    <w:name w:val="Основной текст (2)"/>
    <w:basedOn w:val="Normal"/>
    <w:link w:val="CharStyle30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Решение Оренбургского УФАС России от 13.09.2024 по делу N 056/10/99-1045/2024Обстоятельства: Проведена внеплановая проверка.Решение: Нарушений не выявлено.</dc:title>
  <dc:subject/>
  <dc:creator/>
  <cp:keywords/>
</cp:coreProperties>
</file>