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3707765</wp:posOffset>
            </wp:positionH>
            <wp:positionV relativeFrom="paragraph">
              <wp:posOffset>12700</wp:posOffset>
            </wp:positionV>
            <wp:extent cx="560705" cy="65849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58495"/>
                    </a:xfrm>
                    <a:prstGeom prst="rect"/>
                  </pic:spPr>
                </pic:pic>
              </a:graphicData>
            </a:graphic>
          </wp:anchor>
        </w:drawing>
      </w:r>
    </w:p>
    <w:p>
      <w:pPr>
        <w:pStyle w:val="Style2"/>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8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8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8"/>
        <w:keepNext w:val="0"/>
        <w:keepLines w:val="0"/>
        <w:widowControl w:val="0"/>
        <w:shd w:val="clear" w:color="auto" w:fill="auto"/>
        <w:bidi w:val="0"/>
        <w:spacing w:before="0" w:after="0" w:line="259" w:lineRule="auto"/>
        <w:ind w:left="0" w:right="0" w:firstLine="0"/>
        <w:jc w:val="center"/>
        <w:sectPr>
          <w:footerReference w:type="default" r:id="rId7"/>
          <w:footnotePr>
            <w:pos w:val="pageBottom"/>
            <w:numFmt w:val="decimal"/>
            <w:numRestart w:val="continuous"/>
          </w:footnotePr>
          <w:pgSz w:w="11900" w:h="16840"/>
          <w:pgMar w:top="433" w:right="1636" w:bottom="1198" w:left="1745" w:header="5" w:footer="3" w:gutter="0"/>
          <w:pgNumType w:start="1"/>
          <w:cols w:num="2" w:space="2635"/>
          <w:noEndnote/>
          <w:rtlGutter w:val="0"/>
          <w:docGrid w:linePitch="360"/>
        </w:sectPr>
      </w:pPr>
      <w:r>
        <w:rPr>
          <w:spacing w:val="0"/>
          <w:w w:val="100"/>
          <w:position w:val="0"/>
          <w:shd w:val="clear" w:color="auto" w:fill="auto"/>
          <w:lang w:val="ru-RU" w:eastAsia="ru-RU" w:bidi="ru-RU"/>
        </w:rPr>
        <w:t>Федеральной антимонопольной</w:t>
        <w:br/>
        <w:t>службалбн Коми Республиками</w:t>
        <w:br/>
        <w:t>ВЕСЬКОДЛАНШ</w:t>
      </w:r>
    </w:p>
    <w:p>
      <w:pPr>
        <w:pStyle w:val="Style2"/>
        <w:keepNext w:val="0"/>
        <w:keepLines w:val="0"/>
        <w:framePr w:w="4114" w:h="989" w:wrap="none" w:vAnchor="text" w:hAnchor="page" w:x="1251" w:y="212"/>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r>
    </w:p>
    <w:p>
      <w:pPr>
        <w:pStyle w:val="Style2"/>
        <w:keepNext w:val="0"/>
        <w:keepLines w:val="0"/>
        <w:framePr w:w="4114" w:h="989" w:wrap="none" w:vAnchor="text" w:hAnchor="page" w:x="1251" w:y="212"/>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е-таП: го I1@Й8.§оу.ги</w:t>
      </w:r>
    </w:p>
    <w:p>
      <w:pPr>
        <w:pStyle w:val="Style10"/>
        <w:keepNext w:val="0"/>
        <w:keepLines w:val="0"/>
        <w:framePr w:w="4114" w:h="989" w:wrap="none" w:vAnchor="text" w:hAnchor="page" w:x="1251" w:y="212"/>
        <w:widowControl w:val="0"/>
        <w:shd w:val="clear" w:color="auto" w:fill="auto"/>
        <w:tabs>
          <w:tab w:pos="1838" w:val="left"/>
        </w:tabs>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4.10.2024</w:t>
        <w:tab/>
      </w:r>
      <w:r>
        <w:fldChar w:fldCharType="end"/>
      </w:r>
      <w:r>
        <w:rPr>
          <w:color w:val="000000"/>
          <w:spacing w:val="0"/>
          <w:w w:val="100"/>
          <w:position w:val="0"/>
          <w:sz w:val="30"/>
          <w:szCs w:val="30"/>
          <w:shd w:val="clear" w:color="auto" w:fill="auto"/>
          <w:lang w:val="ru-RU" w:eastAsia="ru-RU" w:bidi="ru-RU"/>
        </w:rPr>
        <w:t>№ ОД/5653/24</w:t>
      </w:r>
    </w:p>
    <w:p>
      <w:pPr>
        <w:pStyle w:val="Style2"/>
        <w:keepNext w:val="0"/>
        <w:keepLines w:val="0"/>
        <w:framePr w:w="2246" w:h="850" w:wrap="none" w:vAnchor="text" w:hAnchor="page" w:x="7669" w:y="21"/>
        <w:widowControl w:val="0"/>
        <w:shd w:val="clear" w:color="auto" w:fill="auto"/>
        <w:bidi w:val="0"/>
        <w:spacing w:before="0" w:after="0" w:line="271" w:lineRule="auto"/>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Ю11@Га8.§оу.га</w:t>
      </w:r>
    </w:p>
    <w:p>
      <w:pPr>
        <w:pStyle w:val="Style8"/>
        <w:keepNext w:val="0"/>
        <w:keepLines w:val="0"/>
        <w:framePr w:w="494" w:h="250" w:wrap="none" w:vAnchor="text" w:hAnchor="page" w:x="1112" w:y="1475"/>
        <w:widowControl w:val="0"/>
        <w:shd w:val="clear" w:color="auto" w:fill="auto"/>
        <w:bidi w:val="0"/>
        <w:spacing w:before="0" w:after="0" w:line="240" w:lineRule="auto"/>
        <w:ind w:left="0" w:right="0" w:firstLine="0"/>
        <w:jc w:val="left"/>
        <w:rPr>
          <w:sz w:val="20"/>
          <w:szCs w:val="20"/>
        </w:rPr>
      </w:pPr>
      <w:r>
        <w:rPr>
          <w:b w:val="0"/>
          <w:bCs w:val="0"/>
          <w:spacing w:val="0"/>
          <w:w w:val="100"/>
          <w:position w:val="0"/>
          <w:sz w:val="20"/>
          <w:szCs w:val="20"/>
          <w:shd w:val="clear" w:color="auto" w:fill="auto"/>
          <w:lang w:val="ru-RU" w:eastAsia="ru-RU" w:bidi="ru-RU"/>
        </w:rPr>
        <w:t>На№</w:t>
      </w:r>
    </w:p>
    <w:p>
      <w:pPr>
        <w:pStyle w:val="Style10"/>
        <w:keepNext w:val="0"/>
        <w:keepLines w:val="0"/>
        <w:framePr w:w="226" w:h="216" w:wrap="none" w:vAnchor="text" w:hAnchor="page" w:x="3128" w:y="1508"/>
        <w:widowControl w:val="0"/>
        <w:shd w:val="clear" w:color="auto" w:fill="auto"/>
        <w:bidi w:val="0"/>
        <w:spacing w:before="0" w:after="0" w:line="240" w:lineRule="auto"/>
        <w:ind w:left="0" w:right="0" w:firstLine="0"/>
        <w:jc w:val="left"/>
        <w:rPr>
          <w:sz w:val="17"/>
          <w:szCs w:val="17"/>
        </w:rPr>
      </w:pPr>
      <w:r>
        <w:rPr>
          <w:rFonts w:ascii="Arial" w:eastAsia="Arial" w:hAnsi="Arial" w:cs="Arial"/>
          <w:color w:val="46619A"/>
          <w:spacing w:val="0"/>
          <w:w w:val="100"/>
          <w:position w:val="0"/>
          <w:sz w:val="17"/>
          <w:szCs w:val="17"/>
          <w:shd w:val="clear" w:color="auto" w:fill="auto"/>
          <w:lang w:val="ru-RU" w:eastAsia="ru-RU" w:bidi="ru-RU"/>
        </w:rPr>
        <w:t>от</w:t>
      </w:r>
    </w:p>
    <w:p>
      <w:pPr>
        <w:pStyle w:val="Style15"/>
        <w:keepNext w:val="0"/>
        <w:keepLines w:val="0"/>
        <w:framePr w:w="1061" w:h="370" w:wrap="none" w:vAnchor="text" w:hAnchor="page" w:x="1160" w:y="22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p>
      <w:pPr>
        <w:pStyle w:val="Style15"/>
        <w:keepNext w:val="0"/>
        <w:keepLines w:val="0"/>
        <w:framePr w:w="4315" w:h="682" w:wrap="none" w:vAnchor="text" w:hAnchor="page" w:x="6109" w:y="181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Индивидуальный предприниматель</w:t>
      </w:r>
    </w:p>
    <w:p>
      <w:pPr>
        <w:pStyle w:val="Style15"/>
        <w:keepNext w:val="0"/>
        <w:keepLines w:val="0"/>
        <w:framePr w:w="4315" w:h="682" w:wrap="none" w:vAnchor="text" w:hAnchor="page" w:x="6109" w:y="181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Брунштейн Марьяна Игоревна</w:t>
      </w:r>
    </w:p>
    <w:p>
      <w:pPr>
        <w:pStyle w:val="Style15"/>
        <w:keepNext w:val="0"/>
        <w:keepLines w:val="0"/>
        <w:framePr w:w="4627" w:h="370" w:wrap="none" w:vAnchor="text" w:hAnchor="page" w:x="6104" w:y="27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5"/>
        <w:keepNext w:val="0"/>
        <w:keepLines w:val="0"/>
        <w:framePr w:w="4786" w:h="1570" w:wrap="none" w:vAnchor="text" w:hAnchor="page" w:x="6104" w:y="3313"/>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Государственное бюджетное учреждение здравоохранения Республики Коми «Эжвинская городская поликлиника»</w:t>
      </w:r>
    </w:p>
    <w:p>
      <w:pPr>
        <w:pStyle w:val="Style15"/>
        <w:keepNext w:val="0"/>
        <w:keepLines w:val="0"/>
        <w:framePr w:w="4786" w:h="1570" w:wrap="none" w:vAnchor="text" w:hAnchor="page" w:x="6104" w:y="331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5"/>
        <w:keepNext w:val="0"/>
        <w:keepLines w:val="0"/>
        <w:framePr w:w="4627" w:h="1267" w:wrap="none" w:vAnchor="text" w:hAnchor="page" w:x="6104" w:y="5108"/>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15"/>
        <w:keepNext w:val="0"/>
        <w:keepLines w:val="0"/>
        <w:framePr w:w="4627" w:h="1267" w:wrap="none" w:vAnchor="text" w:hAnchor="page" w:x="6104" w:y="510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5"/>
        <w:keepNext w:val="0"/>
        <w:keepLines w:val="0"/>
        <w:framePr w:w="3389" w:h="677" w:wrap="none" w:vAnchor="text" w:hAnchor="page" w:x="4544" w:y="6716"/>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жалобе № 011-06/890/2024</w:t>
      </w:r>
    </w:p>
    <w:p>
      <w:pPr>
        <w:pStyle w:val="Style15"/>
        <w:keepNext w:val="0"/>
        <w:keepLines w:val="0"/>
        <w:framePr w:w="2357" w:h="370" w:wrap="none" w:vAnchor="text" w:hAnchor="page" w:x="1117" w:y="76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01 октября 2024 года</w:t>
      </w:r>
    </w:p>
    <w:p>
      <w:pPr>
        <w:pStyle w:val="Style15"/>
        <w:keepNext w:val="0"/>
        <w:keepLines w:val="0"/>
        <w:framePr w:w="1498" w:h="370" w:wrap="none" w:vAnchor="text" w:hAnchor="page" w:x="9723" w:y="7638"/>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Сыктывкар</w:t>
      </w:r>
    </w:p>
    <w:p>
      <w:pPr>
        <w:pStyle w:val="Style15"/>
        <w:keepNext w:val="0"/>
        <w:keepLines w:val="0"/>
        <w:framePr w:w="10262" w:h="3960" w:wrap="none" w:vAnchor="text" w:hAnchor="page" w:x="1102" w:y="8535"/>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Овериной А.В. - главного специалиста - эксперта отдела контроля закупок управления, члена Комиссии; Скоблик Г.Н. - специалиста-эксперта отдела контроля закупок управления, члена Комиссии (далее - Комиссия Коми УФАС России), рассмотрев жалобу индивидуального предпринимателя Брунштейн Марьяны Игоревны (далее - индивидуальный предприниматель) от 24.09.2024 (вх. от 25.09.2024 № 9232/24) на действия заказчика - государственного бюджетного учреждения здравоохранения Республики Коми «Эжвинская городская поликлиника» (далее - ГБУЗ РК «Эжвинская городская поликлиника») при осуществлении закупки путем проведения электронного аукциона «Поставка расходных материалов для лаборатории», извещение</w:t>
      </w:r>
    </w:p>
    <w:p>
      <w:pPr>
        <w:pStyle w:val="Style10"/>
        <w:keepNext w:val="0"/>
        <w:keepLines w:val="0"/>
        <w:framePr w:w="2486" w:h="571" w:wrap="none" w:vAnchor="text" w:hAnchor="page" w:x="1098" w:y="12663"/>
        <w:widowControl w:val="0"/>
        <w:shd w:val="clear" w:color="auto" w:fill="auto"/>
        <w:bidi w:val="0"/>
        <w:spacing w:before="0" w:after="0" w:line="240" w:lineRule="auto"/>
        <w:ind w:left="0" w:right="0" w:firstLine="0"/>
        <w:jc w:val="left"/>
        <w:rPr>
          <w:sz w:val="48"/>
          <w:szCs w:val="48"/>
        </w:rPr>
      </w:pPr>
      <w:r>
        <w:rPr>
          <w:rFonts w:ascii="Arial" w:eastAsia="Arial" w:hAnsi="Arial" w:cs="Arial"/>
          <w:color w:val="000000"/>
          <w:spacing w:val="0"/>
          <w:w w:val="100"/>
          <w:position w:val="0"/>
          <w:sz w:val="48"/>
          <w:szCs w:val="48"/>
          <w:shd w:val="clear" w:color="auto" w:fill="auto"/>
          <w:lang w:val="ru-RU" w:eastAsia="ru-RU" w:bidi="ru-RU"/>
        </w:rPr>
        <w:t>1111111111111111111111</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sectPr>
          <w:footnotePr>
            <w:pos w:val="pageBottom"/>
            <w:numFmt w:val="decimal"/>
            <w:numRestart w:val="continuous"/>
          </w:footnotePr>
          <w:type w:val="continuous"/>
          <w:pgSz w:w="11900" w:h="16840"/>
          <w:pgMar w:top="433" w:right="537" w:bottom="1216" w:left="1097"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0307300024324000337 (далее - жалоба),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в заседании по рассмотрению жалобы:</w:t>
      </w:r>
    </w:p>
    <w:p>
      <w:pPr>
        <w:pStyle w:val="Style15"/>
        <w:keepNext w:val="0"/>
        <w:keepLines w:val="0"/>
        <w:widowControl w:val="0"/>
        <w:shd w:val="clear" w:color="auto" w:fill="auto"/>
        <w:bidi w:val="0"/>
        <w:spacing w:before="0" w:after="240" w:line="240" w:lineRule="auto"/>
        <w:ind w:left="0" w:right="0" w:firstLine="700"/>
        <w:jc w:val="both"/>
      </w:pPr>
      <w:r>
        <w:rPr>
          <w:color w:val="000000"/>
          <w:spacing w:val="0"/>
          <w:w w:val="100"/>
          <w:position w:val="0"/>
          <w:shd w:val="clear" w:color="auto" w:fill="auto"/>
          <w:lang w:val="ru-RU" w:eastAsia="ru-RU" w:bidi="ru-RU"/>
        </w:rPr>
        <w:t>-Красильникова А.Н., представителя ГБУЗ РК «Эжвинская городская поликлиника» по доверенности от 13.09.2024 № 102,</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индивидуального предпринимателя от 24.09.2024 (вх. от 25.09.2024 № 9232/24) на действия заказчика - ГБУЗ РК «Эжвинская городская поликлиника» при осуществлении закупки путем проведения электронного аукциона «Поставка расходных материалов для лаборатории», извещение № 0307300024324000337 (далее - закупка, электронный аукцион).</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соблюдения срока и порядка подачи жалобы, указанная жалоба принята к рассмотрению.</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2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видео-конференцсвязи при рассмотрении жалобы и проведения внеплановой проверки, Коми УФАС России обеспечило участие в рассмотрении жалобы по существу, в том числе с использованием систем видео-конференц-связи.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Индивидуальный предприниматель, ГБУЗ РК «Эжвинская городская поликлиника», общество с ограниченной ответственностью «РТС-тендер» (оператор электронной площадки) о времени, дате, месте, формате рассмотрения жалобы надлежащим образом извещены.</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Индивидуальный предприниматель явку на заседание по рассмотрению жалобы, а также участие в рассмотрении жалобы с использованием систем видео-конференц-связи, не обеспечил.</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индивидуального предпринимателя, представителей индивидуального предпринимателя, оператора электронной площадки не препятствует рассмотрению жалобы и проведению внеплановой проверки.</w:t>
      </w:r>
    </w:p>
    <w:p>
      <w:pPr>
        <w:pStyle w:val="Style15"/>
        <w:keepNext w:val="0"/>
        <w:keepLines w:val="0"/>
        <w:widowControl w:val="0"/>
        <w:shd w:val="clear" w:color="auto" w:fill="auto"/>
        <w:bidi w:val="0"/>
        <w:spacing w:before="0" w:after="240" w:line="240" w:lineRule="auto"/>
        <w:ind w:left="0" w:right="0" w:firstLine="700"/>
        <w:jc w:val="both"/>
      </w:pPr>
      <w:r>
        <w:rPr>
          <w:color w:val="000000"/>
          <w:spacing w:val="0"/>
          <w:w w:val="100"/>
          <w:position w:val="0"/>
          <w:shd w:val="clear" w:color="auto" w:fill="auto"/>
          <w:lang w:val="ru-RU" w:eastAsia="ru-RU" w:bidi="ru-RU"/>
        </w:rPr>
        <w:t>Индивидуальным предпринимателем обжаловано действие заказчика - ГБУЗ РК «Эжвинская городская поликлиника» при определении положений извещения о закупке, касающихся описания объекта закупки, в части включения в описание объекта закупки требований к составу набора: «Ферментативный очиститель (энзиматик); Ферментативный очиститель концентрат (энзиматик концентрат)» без сопровождения словом «или эквивалент».</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позиции заявителя, данные наименования реагентов являются названием реагентов, входящих в набор реагентов для проведения клинического анализа крови на гематологическом анализаторе по ТУ 21.20.23-003-85747522-2019, регистрационное удостоверение от 14.10.2019 № РЗН 2019/9034, производства ООО «Клиникал Диагностик Солюшнз», Россия.</w:t>
      </w:r>
    </w:p>
    <w:p>
      <w:pPr>
        <w:pStyle w:val="Style22"/>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Заявитель указывает, что анализатор МкгоСС-20Р1и§, имеющийся у заказчика, не специфичен и не имеет особенностей использования, предназначен для использования в лабораториях медицинских организаций, согласно документации на него не является «закрытой системой», использует стандартный кондуктометрический принцип подсчета клеток крови (то же - импедансный метод или метод объемного сопротивления), и работает с надлежащим качеством как с реагентами, выпускаемыми самим производителем оборудования (и аффилированной с ним компанией ООО «КДС»), так и с реагентами других производителей (в том числе российских), выпускаемых специально для анализаторов с указанным принципом работы, что указано в их инструкциях по применению.</w:t>
      </w:r>
      <w:bookmarkEnd w:id="0"/>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жалобы, заказчиком нарушены требования статьи 8, пункта 1 части 1, части 3 статьи 33, пункта 1 части 2 статьи 42 Закона о контрактной системе, тем самым ограничена поставка эквивалентного товара, а также ограничено количество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Индивидуальный предприниматель письмом от 29.09.2024 (вх. от 30.09.2024 № 9361- ЭП/24) в материалы жалобы представил дополнительные копии документов в обоснование своей позиции.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РК «Эжвинская городская поликлиника» в письме от 30.09.2004 № 4448 (вх. от 30.09.2024 № 9395-ЭП/24) представлен отзыв на жалобу, а также копии документов в подтверждение позиции заказчика.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в ходе рассмотрения жалобы согласно статей 105, 106 Закона о контрактной системе и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сведения о закупке, размещенные на официальном сайте Единой информационной системы в сфере закупок (далее - ЕИС), пришла к нижеследующим выводам.</w:t>
      </w:r>
    </w:p>
    <w:p>
      <w:pPr>
        <w:pStyle w:val="Style15"/>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осуществления закупки путем проведения электронного аукциона явилось ГБУЗ РК «Эжвинская городская поликлиника».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Объект закупки - «Поставка расходных материалов для лаборатории».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составила 592 025,00 руб.</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электронного аукциона размещено на официальном сайте ЕИС 16.09.2024.</w:t>
      </w:r>
    </w:p>
    <w:p>
      <w:pPr>
        <w:pStyle w:val="Style15"/>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numPr>
          <w:ilvl w:val="1"/>
          <w:numId w:val="1"/>
        </w:numPr>
        <w:shd w:val="clear" w:color="auto" w:fill="auto"/>
        <w:tabs>
          <w:tab w:pos="125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14 части 3 статьи 4 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частями 5, 6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2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 145, под каталогом товаров, работ, услуг для обеспечения государственных и муниципальных нужд (далее - каталог,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подпункту г) пункта 10, подпункту а) пункта 13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описание товара, работы, услуги, если такое описание сформировано в соответствии с пунктом 13 настоящих Правил.</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описание товара, работы, услуги в соответствии с требованиями статьи 33 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подпункту б) пункта 2, подпункту в) пункта 4, пунктам 5,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каталог используется заказчиками, в том числе, в целях описания объектов закупки, </w:t>
      </w:r>
      <w:r>
        <w:rPr>
          <w:color w:val="000000"/>
          <w:spacing w:val="0"/>
          <w:w w:val="100"/>
          <w:position w:val="0"/>
          <w:shd w:val="clear" w:color="auto" w:fill="auto"/>
          <w:lang w:val="ru-RU" w:eastAsia="ru-RU" w:bidi="ru-RU"/>
        </w:rPr>
        <w:t>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указанных в подпунктах а), б) пункта 6.</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извещению о закупке, к спорной позиции «Подсчет клеток крови ИВД, набор» применен код позиции КТРУ 21.20.23.110-00011267.</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сведений КТРУ с официального сайта код позиции КТРУ 21.20.23.110</w:t>
        <w:softHyphen/>
        <w:t>00011267 включает наименование товара «Подсчет клеток крови ИВД, набор», а также характеристики, являющиеся обязательными для применения: вид метки идентификации реагента: КБГО метка/штрих-код метка; назначение: для анализаторов М|сгоСС-20Р1и^.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результатам анализа описания объекта закупки установлено, что заказчиком при описании спорной позиции применены как характеристики, являющиеся обязательными для применения, предусмотренные КТРУ, так и дополнительные характеристики, не указанные в соответствующей позиции КТРУ.</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качестве дополнительной характеристики указано оспариваемое заявителем требование «Состав набора: Изотонический разбавитель (дилюент) - 1 шт; Лизирующий раствор бесцианидный - 1 шт; Ферментативный очиститель (энзиматик) - 2 шт; Раствор очищающий - 1 шт; Ферментативный очиститель концентрат (энзиматик концентрат) - 1 шт» - «соответствие».</w:t>
      </w:r>
    </w:p>
    <w:p>
      <w:pPr>
        <w:pStyle w:val="Style1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 xml:space="preserve">При этом Описание объекта закупки в соответствии с требованиями пунктов 5,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содержит Обоснование необходимости использования иных и дополнительных требований, не предусмотренных в позиции КТРУ: «Дополнительные требования в </w:t>
      </w:r>
      <w:r>
        <w:rPr>
          <w:color w:val="000000"/>
          <w:spacing w:val="0"/>
          <w:w w:val="100"/>
          <w:position w:val="0"/>
          <w:shd w:val="clear" w:color="auto" w:fill="auto"/>
          <w:lang w:val="ru-RU" w:eastAsia="ru-RU" w:bidi="ru-RU"/>
        </w:rPr>
        <w:t>отношении функциональных, технических, качественных, эксплуатационных характеристик товара включены на основании п. 5, п. 6 Постановления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и обусловлены потребностями заказчика в части технических и качественных характеристик объекта закупки, являющихся значимыми в целях оказания квалифицированной медицинской помощи, необходимостью обеспечения получения достоверного результата при оптимальных условиях. Учитывая, что целями закупки является обеспечение условий оказания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(далее по тексту - Стандарты), но и иные показатели, требования и терминология, позволяющие определить соответствие закупаемых товаров требованиям заказчика. Применение иных показателей обусловлено необходимостью 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относительно потребности заказчика».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отмечает, что действующими нормами Закона о контрактной системе не установлено специальных требований к содержанию и полноте обоснования необходимости использования дополнительной информации, не предусмотренной соответствующей позицией КТРУ.</w:t>
      </w:r>
    </w:p>
    <w:p>
      <w:pPr>
        <w:pStyle w:val="Style15"/>
        <w:keepNext w:val="0"/>
        <w:keepLines w:val="0"/>
        <w:widowControl w:val="0"/>
        <w:numPr>
          <w:ilvl w:val="1"/>
          <w:numId w:val="1"/>
        </w:numPr>
        <w:shd w:val="clear" w:color="auto" w:fill="auto"/>
        <w:tabs>
          <w:tab w:pos="125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пункте 1 части 1, частях 2, 3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3"/>
        </w:numPr>
        <w:shd w:val="clear" w:color="auto" w:fill="auto"/>
        <w:tabs>
          <w:tab w:pos="102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5"/>
        <w:keepNext w:val="0"/>
        <w:keepLines w:val="0"/>
        <w:widowControl w:val="0"/>
        <w:numPr>
          <w:ilvl w:val="0"/>
          <w:numId w:val="3"/>
        </w:numPr>
        <w:shd w:val="clear" w:color="auto" w:fill="auto"/>
        <w:tabs>
          <w:tab w:pos="102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3"/>
        </w:numPr>
        <w:shd w:val="clear" w:color="auto" w:fill="auto"/>
        <w:tabs>
          <w:tab w:pos="101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3"/>
        </w:numPr>
        <w:shd w:val="clear" w:color="auto" w:fill="auto"/>
        <w:tabs>
          <w:tab w:pos="101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письменным пояснениям ГБУЗ РК «Эжвинская городская поликлиника», приведенным в письме от 30.09.2004 № 4448 (вх. от 30.09.2024 № 9395-ЭП/24), устным пояснениям представителя ГБУЗ РК «Эжвинская городская поликлиника», озвученным в ходе заседания по рассмотрению жалобы, при описании объекта закупки заказчик руководствовался требованиями Закона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Оспариваемые заявителем наименования показателей «ферментативный очиститель концентрат (энзиматик концентрат)», «ферментативный очиститель (энзиматик)» не являются торговым наименованием продукции либо зарегистрированным товарным знаком конкретного производителя, а являются расширенным наименованием показателя, т.к. слова «энзиматик» и «ферментативный» являются синонимами.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 разных производителей используется различное наименование для обозначения своей продукции. Учитывая необходимость обеспечения взаимодействия закупаемой продукции с анализатором, используемым заказчиком, применена терминология для расширения перечня возможных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Коми УФАС России отсутствуют, заявителем не представлено бесспорных доказательств, что в оспариваемом требовании «Состав набора: Изотонический разбавитель (дилюент) - 1 шт; Лизирующий раствор бесцианидный - 1 шт; Ферментативный очиститель (энзиматик) - 2 шт; Раствор очищающий - 1 шт; Ферментативный очиститель концентрат (энзиматик концентрат) - 1 шт» - «соответствие» </w:t>
      </w:r>
      <w:r>
        <w:rPr>
          <w:color w:val="000000"/>
          <w:spacing w:val="0"/>
          <w:w w:val="100"/>
          <w:position w:val="0"/>
          <w:shd w:val="clear" w:color="auto" w:fill="auto"/>
          <w:lang w:val="ru-RU" w:eastAsia="ru-RU" w:bidi="ru-RU"/>
        </w:rPr>
        <w:t>содержится указание на товарный знак.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отмечает, что Закон о контрактной системе позволяет заказчику, руководствуясь своими потребностями, определять предмет закупки, его количественные и качественные характеристики, в необходимой степени детализировать его, при этом запрещает ограничивать количество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описание объекта закупки требований к товарам, являющихся значимыми для заказчика, равно как и не предусматривает обязанность заказчика в описании объекта закупки обосновывать свои потребности и причины при установлении требований к товарам и их характеристикам.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Выбор показателей и характеристик объекта закупки остается за заказчиком.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Аналогичная позиция отражена в правовой позиции Верховного Суда Российской Федерации, изложенная в определении от 04.05.2017 по делу № А08-1545/2016, согласно которой основной задачей норм, содержащихся в Законе о контрактной системе, является не столько обеспечение максимально широкого круга участников размещения заказов, сколько выявление в результате закупок лица, исполнение контракта которым в наибольшей степени удовлетворит потребности заказчика в необходимом товаре 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Указанное также согласуется с правовой позицией, изложенной в абзаце 8 пункта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согласно которой заказчики, осуществляющие закупку по правилам Закона о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этой связи включение в описание объекта закупки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Однозначных и бесспорных доказательств того, что оспариваемые требования к товару являются несущественными для заказчика, в материалах жалобы отсутствуют.</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Заказчик при размещении закупки не имеет возможности установить требования к характеристикам, которые удовлетворяли бы всех возможных участников закупки, а действующее законодательство не накладывает на него обязанность учитывать интересы каждого участника рынка, осуществляющего поставку данной группы товаров, и </w:t>
      </w:r>
      <w:r>
        <w:rPr>
          <w:color w:val="000000"/>
          <w:spacing w:val="0"/>
          <w:w w:val="100"/>
          <w:position w:val="0"/>
          <w:shd w:val="clear" w:color="auto" w:fill="auto"/>
          <w:lang w:val="ru-RU" w:eastAsia="ru-RU" w:bidi="ru-RU"/>
        </w:rPr>
        <w:t>устанавливать требования, которые бы подходили для всех потенциальных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Как подтверждается материалами жалобы, требования к закупаемому товару обусловлены спецификой использования такого товара, что обосновано заказчиком.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Доказательств объективного отсутствия у заказчика необходимости в получении закупаемого товара с оспариваемыми характеристиками, которые указаны в Описании объекта закупки, заявителем не представлено.</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Обоснование характеристик товара, которые отвечают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Предметом аукциона является поставка, а не производство (изготовление) товара.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Поставщиком товара может выступить любое физическое либо юридическое лицо, индивидуальный предприниматель, в том числе и не являющийся производителем требуемого к поставке товара, готовый поставить товар, отвечающий требованиям извещения о закупке и удовлетворяющий потребностям заказчика.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Заявителем документально не подтверждено отсутствие возможности приобрести закупаемый заказчиком в рамках закупки товар в целях его поставки для нужд заказчика.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Коми УФАС России отсутствуют, заявителем в материалы жалобы не представлены бесспорные доказательства того, что заказчиком установлены какие-либо особые (нестандартные) или излишние требования к характеристикам поставляемого товара, ограничивающие количество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Бесспорных доказательств того, что оспариваемые требования к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в электронном аукционе, препятствовали каким-либо образом подаче заявки заявителем на участие в закупке, в материалах жалобы отсутствуют, заявителем в Коми УФАС России не представлено.</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протоколу подведения итогов определения поставщика (подрядчика, исполнителя) от 27.09.2024 №ИЭА1 на участие в закупке подано две заявки, обе заявки признаны комиссией по осуществлению закупок соответствующими требованиям извещения о закупке.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Коми УФАС России по результатам анализа заявок на участие в закупке, представленных в материалы жалобы оператором электронной площадки установлено, что в указанных заявках предложен товар разных производителей: ООО «Клиникал Диагностик Солюшнз» и ООО «РЕАМЕД».</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пришла к выводу о том, что оспариваемые положения извещения об электронном аукционе,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оспариваемых действиях заказчика - ГБУЗ РК «Эжвинская городская поликлиника» при описании объекта закупки нарушение требований статьи 8, пункта 1 частей 1-3 статьи 33, пункта 1 части 2 статьи 42 Закона о контрактной системе, не установлено.</w:t>
      </w:r>
      <w:r>
        <w:br w:type="page"/>
      </w:r>
    </w:p>
    <w:p>
      <w:pPr>
        <w:pStyle w:val="Style15"/>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8 статьи 106, пункту 2 части 22 статьи 99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1 и 3 части 22 статьи 99 настоящего Федерального закона, и выдает (при необходимости) предписание об устранении допущенных нарушений, предусмотренное пунктом 2 части 22 статьи 99 настоящего Федерального закона.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того, что по результатам рассмотрения жалобы и проведения внеплановой проверки нарушения Закона о контрактной системе не установлены, предписание об устранении таких нарушений выдаче не подлежит.</w:t>
      </w:r>
    </w:p>
    <w:p>
      <w:pPr>
        <w:pStyle w:val="Style15"/>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Доводы жалобы о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 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Копия жалобы в части доводов, касающихся возможных нарушений антимонопольного законодательства, передана на рассмотрение уполномоченному должностному лицу Коми УФАС России и будет рассмотрена в порядке и сроки, предусмотренные Федеральным законом от 26.07.2006 № 135-ФЗ «О защите конкуренции».</w:t>
      </w:r>
    </w:p>
    <w:p>
      <w:pPr>
        <w:pStyle w:val="Style15"/>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необоснованной.</w:t>
      </w:r>
    </w:p>
    <w:p>
      <w:pPr>
        <w:pStyle w:val="Style15"/>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2. По результатам проведения Комиссией Коми УФАС России внеплановой проверки нарушений Закона о контрактной системе не установлено.</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pPr>
      <w:r>
        <mc:AlternateContent>
          <mc:Choice Requires="wps">
            <w:drawing>
              <wp:anchor distT="114300" distB="234950" distL="0" distR="0" simplePos="0" relativeHeight="125829379" behindDoc="0" locked="0" layoutInCell="1" allowOverlap="1">
                <wp:simplePos x="0" y="0"/>
                <wp:positionH relativeFrom="page">
                  <wp:posOffset>739775</wp:posOffset>
                </wp:positionH>
                <wp:positionV relativeFrom="paragraph">
                  <wp:posOffset>114300</wp:posOffset>
                </wp:positionV>
                <wp:extent cx="1700530" cy="228600"/>
                <wp:wrapTopAndBottom/>
                <wp:docPr id="5" name="Shape 5"/>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25pt;margin-top:9.pt;width:133.90000000000001pt;height:18.pt;z-index:-125829374;mso-wrap-distance-left:0;mso-wrap-distance-top:9.pt;mso-wrap-distance-right:0;mso-wrap-distance-bottom:18.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12090" distB="18415" distL="0" distR="1813560" simplePos="0" relativeHeight="125829381" behindDoc="0" locked="0" layoutInCell="1" allowOverlap="1">
            <wp:simplePos x="0" y="0"/>
            <wp:positionH relativeFrom="page">
              <wp:posOffset>2687320</wp:posOffset>
            </wp:positionH>
            <wp:positionV relativeFrom="paragraph">
              <wp:posOffset>212090</wp:posOffset>
            </wp:positionV>
            <wp:extent cx="298450" cy="34734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279400</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09999999999999pt;margin-top:22.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0" distL="0" distR="0" simplePos="0" relativeHeight="125829382" behindDoc="0" locked="0" layoutInCell="1" allowOverlap="1">
                <wp:simplePos x="0" y="0"/>
                <wp:positionH relativeFrom="page">
                  <wp:posOffset>6217285</wp:posOffset>
                </wp:positionH>
                <wp:positionV relativeFrom="paragraph">
                  <wp:posOffset>342900</wp:posOffset>
                </wp:positionV>
                <wp:extent cx="975360" cy="234950"/>
                <wp:wrapTopAndBottom/>
                <wp:docPr id="11" name="Shape 11"/>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37" type="#_x0000_t202" style="position:absolute;margin-left:489.55000000000001pt;margin-top:27.pt;width:76.799999999999997pt;height:18.5pt;z-index:-125829371;mso-wrap-distance-left:0;mso-wrap-distance-top:27.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left="3100" w:right="0" w:firstLine="0"/>
        <w:jc w:val="left"/>
      </w:pPr>
      <w:r>
        <w:rPr>
          <w:color w:val="000000"/>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Дейберт Ольга Ивановна</w:t>
      </w:r>
    </w:p>
    <w:p>
      <w:pPr>
        <w:pStyle w:val="Style26"/>
        <w:keepNext w:val="0"/>
        <w:keepLines w:val="0"/>
        <w:widowControl w:val="0"/>
        <w:shd w:val="clear" w:color="auto" w:fill="auto"/>
        <w:bidi w:val="0"/>
        <w:spacing w:before="0" w:after="0" w:line="240" w:lineRule="auto"/>
        <w:ind w:left="310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47ВЕ956094А2653С447Е267327825004</w:t>
      </w:r>
    </w:p>
    <w:p>
      <w:pPr>
        <w:pStyle w:val="Style26"/>
        <w:keepNext w:val="0"/>
        <w:keepLines w:val="0"/>
        <w:widowControl w:val="0"/>
        <w:shd w:val="clear" w:color="auto" w:fill="auto"/>
        <w:bidi w:val="0"/>
        <w:spacing w:before="0" w:after="60" w:line="240" w:lineRule="auto"/>
        <w:ind w:left="3100" w:right="0" w:firstLine="0"/>
        <w:jc w:val="left"/>
        <w:sectPr>
          <w:headerReference w:type="default" r:id="rId10"/>
          <w:footerReference w:type="default" r:id="rId11"/>
          <w:footnotePr>
            <w:pos w:val="pageBottom"/>
            <w:numFmt w:val="decimal"/>
            <w:numRestart w:val="continuous"/>
          </w:footnotePr>
          <w:pgSz w:w="11900" w:h="16840"/>
          <w:pgMar w:top="1662" w:right="538" w:bottom="1350" w:left="1100" w:header="0" w:footer="3" w:gutter="0"/>
          <w:cols w:space="720"/>
          <w:noEndnote/>
          <w:rtlGutter w:val="0"/>
          <w:docGrid w:linePitch="360"/>
        </w:sectPr>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10.06.2024 </w:t>
      </w:r>
      <w:r>
        <w:rPr>
          <w:color w:val="78787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03.09.2025</w:t>
      </w:r>
    </w:p>
    <w:p>
      <w:pPr>
        <w:widowControl w:val="0"/>
        <w:spacing w:line="219" w:lineRule="exact"/>
        <w:rPr>
          <w:sz w:val="18"/>
          <w:szCs w:val="18"/>
        </w:rPr>
      </w:pPr>
    </w:p>
    <w:p>
      <w:pPr>
        <w:widowControl w:val="0"/>
        <w:spacing w:line="1" w:lineRule="exact"/>
        <w:sectPr>
          <w:footnotePr>
            <w:pos w:val="pageBottom"/>
            <w:numFmt w:val="decimal"/>
            <w:numRestart w:val="continuous"/>
          </w:footnotePr>
          <w:pgSz w:w="11900" w:h="16840"/>
          <w:pgMar w:top="1459" w:right="570" w:bottom="1166" w:left="1140" w:header="0" w:footer="3" w:gutter="0"/>
          <w:cols w:space="720"/>
          <w:noEndnote/>
          <w:rtlGutter w:val="0"/>
          <w:docGrid w:linePitch="360"/>
        </w:sectPr>
      </w:pPr>
    </w:p>
    <w:p>
      <w:pPr>
        <w:pStyle w:val="Style15"/>
        <w:keepNext w:val="0"/>
        <w:keepLines w:val="0"/>
        <w:framePr w:w="1963" w:h="370" w:wrap="none" w:vAnchor="text" w:hAnchor="page" w:x="116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9"/>
        <w:keepNext w:val="0"/>
        <w:keepLines w:val="0"/>
        <w:framePr w:w="2712" w:h="403" w:wrap="none" w:vAnchor="text" w:hAnchor="page" w:x="4842" w:y="966"/>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5"/>
        <w:keepNext w:val="0"/>
        <w:keepLines w:val="0"/>
        <w:framePr w:w="1560" w:h="370" w:wrap="none" w:vAnchor="text" w:hAnchor="page" w:x="9766" w:y="7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p>
      <w:pPr>
        <w:widowControl w:val="0"/>
        <w:spacing w:line="360" w:lineRule="exact"/>
      </w:pPr>
      <w:r>
        <w:drawing>
          <wp:anchor distT="0" distB="0" distL="0" distR="1813560" simplePos="0" relativeHeight="62914696" behindDoc="1" locked="0" layoutInCell="1" allowOverlap="1">
            <wp:simplePos x="0" y="0"/>
            <wp:positionH relativeFrom="page">
              <wp:posOffset>2686685</wp:posOffset>
            </wp:positionH>
            <wp:positionV relativeFrom="paragraph">
              <wp:posOffset>548640</wp:posOffset>
            </wp:positionV>
            <wp:extent cx="298450" cy="34734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2"/>
                    <a:stretch/>
                  </pic:blipFill>
                  <pic:spPr>
                    <a:xfrm>
                      <a:ext cx="298450" cy="347345"/>
                    </a:xfrm>
                    <a:prstGeom prst="rect"/>
                  </pic:spPr>
                </pic:pic>
              </a:graphicData>
            </a:graphic>
          </wp:anchor>
        </w:drawing>
      </w: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type w:val="continuous"/>
          <w:pgSz w:w="11900" w:h="16840"/>
          <w:pgMar w:top="1459" w:right="570" w:bottom="1166" w:left="1140" w:header="0" w:footer="3" w:gutter="0"/>
          <w:cols w:space="720"/>
          <w:noEndnote/>
          <w:rtlGutter w:val="0"/>
          <w:docGrid w:linePitch="360"/>
        </w:sectPr>
      </w:pP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Сверила Анна Владимировна</w:t>
      </w:r>
    </w:p>
    <w:p>
      <w:pPr>
        <w:pStyle w:val="Style26"/>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008А5031677Е920А65Е043ЕАЕ50626607А</w:t>
      </w:r>
    </w:p>
    <w:p>
      <w:pPr>
        <w:pStyle w:val="Style26"/>
        <w:keepNext w:val="0"/>
        <w:keepLines w:val="0"/>
        <w:widowControl w:val="0"/>
        <w:shd w:val="clear" w:color="auto" w:fill="auto"/>
        <w:bidi w:val="0"/>
        <w:spacing w:before="0" w:after="0" w:line="240" w:lineRule="auto"/>
        <w:ind w:left="0" w:right="0" w:firstLine="0"/>
        <w:jc w:val="left"/>
      </w:pPr>
      <w:r>
        <w:rPr>
          <w:color w:val="78787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16.07.2024 </w:t>
      </w:r>
      <w:r>
        <w:rPr>
          <w:color w:val="78787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09.10.2025</w:t>
      </w:r>
    </w:p>
    <w:p>
      <w:pPr>
        <w:widowControl w:val="0"/>
        <w:spacing w:line="1" w:lineRule="exact"/>
        <w:sectPr>
          <w:footnotePr>
            <w:pos w:val="pageBottom"/>
            <w:numFmt w:val="decimal"/>
            <w:numRestart w:val="continuous"/>
          </w:footnotePr>
          <w:type w:val="continuous"/>
          <w:pgSz w:w="11900" w:h="16840"/>
          <w:pgMar w:top="1719" w:right="4227" w:bottom="11045" w:left="4202" w:header="0" w:footer="3" w:gutter="0"/>
          <w:cols w:space="720"/>
          <w:noEndnote/>
          <w:rtlGutter w:val="0"/>
          <w:docGrid w:linePitch="360"/>
        </w:sectPr>
      </w:pPr>
      <w:r>
        <w:drawing>
          <wp:anchor distT="304800" distB="0" distL="0" distR="1813560" simplePos="0" relativeHeight="125829384" behindDoc="0" locked="0" layoutInCell="1" allowOverlap="1">
            <wp:simplePos x="0" y="0"/>
            <wp:positionH relativeFrom="page">
              <wp:posOffset>2686685</wp:posOffset>
            </wp:positionH>
            <wp:positionV relativeFrom="paragraph">
              <wp:posOffset>304800</wp:posOffset>
            </wp:positionV>
            <wp:extent cx="298450" cy="34734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372110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05000000000001pt;margin-top:29.300000000000001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p>
    <w:p>
      <w:pPr>
        <w:widowControl w:val="0"/>
        <w:spacing w:line="1" w:lineRule="exact"/>
      </w:pPr>
      <w:r>
        <mc:AlternateContent>
          <mc:Choice Requires="wps">
            <w:drawing>
              <wp:anchor distT="0" distB="0" distL="114300" distR="114300" simplePos="0" relativeHeight="125829385" behindDoc="0" locked="0" layoutInCell="1" allowOverlap="1">
                <wp:simplePos x="0" y="0"/>
                <wp:positionH relativeFrom="page">
                  <wp:posOffset>6243955</wp:posOffset>
                </wp:positionH>
                <wp:positionV relativeFrom="paragraph">
                  <wp:posOffset>100330</wp:posOffset>
                </wp:positionV>
                <wp:extent cx="951230" cy="231775"/>
                <wp:wrapSquare wrapText="bothSides"/>
                <wp:docPr id="23" name="Shape 23"/>
                <a:graphic xmlns:a="http://schemas.openxmlformats.org/drawingml/2006/main">
                  <a:graphicData uri="http://schemas.microsoft.com/office/word/2010/wordprocessingShape">
                    <wps:wsp>
                      <wps:cNvSpPr txBox="1"/>
                      <wps:spPr>
                        <a:xfrm>
                          <a:ext cx="951230" cy="23177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Г.Н. Скоблик</w:t>
                            </w:r>
                          </w:p>
                        </w:txbxContent>
                      </wps:txbx>
                      <wps:bodyPr wrap="none" lIns="0" tIns="0" rIns="0" bIns="0">
                        <a:noAutoFit/>
                      </wps:bodyPr>
                    </wps:wsp>
                  </a:graphicData>
                </a:graphic>
              </wp:anchor>
            </w:drawing>
          </mc:Choice>
          <mc:Fallback>
            <w:pict>
              <v:shape id="_x0000_s1049" type="#_x0000_t202" style="position:absolute;margin-left:491.65000000000003pt;margin-top:7.9000000000000004pt;width:74.900000000000006pt;height:18.25pt;z-index:-125829368;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Г.Н. Скоблик</w:t>
                      </w:r>
                    </w:p>
                  </w:txbxContent>
                </v:textbox>
                <w10:wrap type="square"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Скоблик Галина Николаевна</w:t>
      </w:r>
    </w:p>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092ЕВ23А500С8019Е8АС35Е801С39Е04</w:t>
      </w:r>
    </w:p>
    <w:p>
      <w:pPr>
        <w:pStyle w:val="Style26"/>
        <w:keepNext w:val="0"/>
        <w:keepLines w:val="0"/>
        <w:widowControl w:val="0"/>
        <w:shd w:val="clear" w:color="auto" w:fill="auto"/>
        <w:bidi w:val="0"/>
        <w:spacing w:before="0" w:after="60" w:line="240" w:lineRule="auto"/>
        <w:ind w:left="0" w:right="0" w:firstLine="0"/>
        <w:jc w:val="left"/>
      </w:pPr>
      <w:r>
        <w:rPr>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11.09.2023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04.12.2024</w:t>
      </w:r>
    </w:p>
    <w:sectPr>
      <w:footnotePr>
        <w:pos w:val="pageBottom"/>
        <w:numFmt w:val="decimal"/>
        <w:numRestart w:val="continuous"/>
      </w:footnotePr>
      <w:type w:val="continuous"/>
      <w:pgSz w:w="11900" w:h="16840"/>
      <w:pgMar w:top="1719" w:right="4227" w:bottom="1719" w:left="42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2024-6420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2024-6420</w:t>
                          </w:r>
                        </w:p>
                      </w:txbxContent>
                    </wps:txbx>
                    <wps:bodyPr wrap="none" lIns="0" tIns="0" rIns="0" bIns="0">
                      <a:spAutoFit/>
                    </wps:bodyPr>
                  </wps:wsp>
                </a:graphicData>
              </a:graphic>
            </wp:anchor>
          </w:drawing>
        </mc:Choice>
        <mc:Fallback>
          <w:pict>
            <v:shape id="_x0000_s1041" type="#_x0000_t202" style="position:absolute;margin-left:56.899999999999999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3903345</wp:posOffset>
              </wp:positionH>
              <wp:positionV relativeFrom="page">
                <wp:posOffset>759460</wp:posOffset>
              </wp:positionV>
              <wp:extent cx="128270" cy="106680"/>
              <wp:wrapNone/>
              <wp:docPr id="13" name="Shape 1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5000000000002pt;margin-top:59.800000000000004pt;width:10.1pt;height:8.4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1">
    <w:name w:val="Другое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02020"/>
      <w:sz w:val="11"/>
      <w:szCs w:val="11"/>
      <w:u w:val="none"/>
    </w:rPr>
  </w:style>
  <w:style w:type="character" w:customStyle="1" w:styleId="CharStyle23">
    <w:name w:val="Заголовок №1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Основной текст (5)_"/>
    <w:basedOn w:val="DefaultParagraphFont"/>
    <w:link w:val="Style24"/>
    <w:rPr>
      <w:rFonts w:ascii="Georgia" w:eastAsia="Georgia" w:hAnsi="Georgia" w:cs="Georgia"/>
      <w:b w:val="0"/>
      <w:bCs w:val="0"/>
      <w:i w:val="0"/>
      <w:iCs w:val="0"/>
      <w:smallCaps w:val="0"/>
      <w:strike w:val="0"/>
      <w:color w:val="E6E6E6"/>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C4C4C"/>
      <w:sz w:val="12"/>
      <w:szCs w:val="12"/>
      <w:u w:val="none"/>
    </w:rPr>
  </w:style>
  <w:style w:type="paragraph" w:customStyle="1" w:styleId="Style2">
    <w:name w:val="Основной текст (3)"/>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10">
    <w:name w:val="Другое"/>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02020"/>
      <w:sz w:val="11"/>
      <w:szCs w:val="11"/>
      <w:u w:val="none"/>
    </w:rPr>
  </w:style>
  <w:style w:type="paragraph" w:customStyle="1" w:styleId="Style22">
    <w:name w:val="Заголовок №1"/>
    <w:basedOn w:val="Normal"/>
    <w:link w:val="CharStyle23"/>
    <w:pPr>
      <w:widowControl w:val="0"/>
      <w:shd w:val="clear" w:color="auto" w:fill="auto"/>
      <w:ind w:firstLine="70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Основной текст (5)"/>
    <w:basedOn w:val="Normal"/>
    <w:link w:val="CharStyle25"/>
    <w:pPr>
      <w:widowControl w:val="0"/>
      <w:shd w:val="clear" w:color="auto" w:fill="auto"/>
      <w:spacing w:after="100"/>
      <w:jc w:val="center"/>
    </w:pPr>
    <w:rPr>
      <w:rFonts w:ascii="Georgia" w:eastAsia="Georgia" w:hAnsi="Georgia" w:cs="Georgia"/>
      <w:b w:val="0"/>
      <w:bCs w:val="0"/>
      <w:i w:val="0"/>
      <w:iCs w:val="0"/>
      <w:smallCaps w:val="0"/>
      <w:strike w:val="0"/>
      <w:color w:val="E6E6E6"/>
      <w:sz w:val="12"/>
      <w:szCs w:val="12"/>
      <w:u w:val="none"/>
    </w:rPr>
  </w:style>
  <w:style w:type="paragraph" w:customStyle="1" w:styleId="Style26">
    <w:name w:val="Основной текст (2)"/>
    <w:basedOn w:val="Normal"/>
    <w:link w:val="CharStyle27"/>
    <w:pPr>
      <w:widowControl w:val="0"/>
      <w:shd w:val="clear" w:color="auto" w:fill="auto"/>
    </w:pPr>
    <w:rPr>
      <w:rFonts w:ascii="Arial" w:eastAsia="Arial" w:hAnsi="Arial" w:cs="Arial"/>
      <w:b w:val="0"/>
      <w:bCs w:val="0"/>
      <w:i w:val="0"/>
      <w:iCs w:val="0"/>
      <w:smallCaps w:val="0"/>
      <w:strike w:val="0"/>
      <w:color w:val="4C4C4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