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41059/24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41059/24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тад8итоVа@^апера.^и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«МарКом»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8е^деу.то^8ееV@^кета^ке^д^оир.^и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ко@8ЪегЪапк-а81.ги, тГо@8ЪегЪапк-а81ми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077/06/106-13112/2024 о нарушении</w:t>
        <w:br/>
        <w:t>законодательства о контрактной системе</w:t>
        <w:br/>
        <w:t>01.10.2024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РАНХиГС: Т.Л. Тодоровой (по дов. № 436 от 20.06.2023), А.Р. Гараева (по дов. № 437 от 20.06.2023),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«МарКом»: Д.М. Альковой, А.Д. Селиной (по дов. № 77 АД 1029377 от 22.11.2022),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«Коннект»: А.Ю. Акаемова (по дов. № б/н от 01.03.2024),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АО «МарКом» (далее — Заявитель) на действия РАНХиГС (далее — Заказчик) при проведении открытого конкурса в электронной форме на право заключения государственного контракта на оказание услуг по организационно-техническому сопровождению комплекса образовательных мероприятий (Закупка № 0373100037624000155)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widowControl w:val="0"/>
        <w:spacing w:after="67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комиссией Заказчика нарушен порядок оценки заявки АО «МарКом», по детализирующим показателям «общая цена исполненных участником закупки договоров», «общее количество исполненных участником закупки договоров», ввиду следующего.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Заказчика в части применения установленного порядка оценки заявок на участие в конкурсе.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7" w:bottom="1211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конкурсной документацией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ст.24 Закона о контрактной системе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п.25 Положения для оценки заявок по показателям оценки, предусмотренным пунктом 24 Положения, применяются детализирующие показатели.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п.28 Положения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определено, что согласно извещению о проведении открытого конкурса в электронной форме от 30.08.2024 №0373100037624000155 Заказчиком установлен, в том числе следующий порядок оценки заявок по детализирующим показателям «общая цена исполненных участником закупки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2024-46213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договоров», «общее количество исполненных участником закупки договоров»: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4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«Значение количества баллов определяется по следующей формуле, предусмотренной подпунктом «ж» пункта 20 Положения: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где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БХ^ - значение количества баллов по детализирующему показателю, присваиваемое заявке, подлежащей оценке;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Х1 - значение характеристики объекта закупки, содержащееся в предложении участника закупки, заявка которого подлежит оценке;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1" w:val="left"/>
        </w:tabs>
        <w:bidi w:val="0"/>
        <w:spacing w:before="0" w:after="0" w:line="218" w:lineRule="auto"/>
        <w:ind w:left="0" w:right="0" w:firstLine="9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предельное минимальное значение характеристики объекта закупки, установленное заказчиком, соответствующее 0 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Хтах - максимальное значение характеристики объекта закупки, содержащееся в заявках, подлежащих оценке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 договора,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выполнение комплекса работ (оказание комплекса услуг) по организационно-техническому сопровождению (проведению) культурно-просветительских (в том числе семинары), деловых (включая форумы, конференции), спортивно-оздоровительных мероприятий, за исключением случаев, когда указанные работы (услуги) не носят комплексного характера, а именно если таким контрактом (договором) предусмотрено выполнение только одной из следующих категорий работ (оказание одной из следующих категорий услуг):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1" w:val="left"/>
        </w:tabs>
        <w:bidi w:val="0"/>
        <w:spacing w:before="0" w:after="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 проезда и/или питания и/или проживания участников мероприятий,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1" w:val="left"/>
        </w:tabs>
        <w:bidi w:val="0"/>
        <w:spacing w:before="0" w:after="0" w:line="21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материально-техническое обеспечение мероприятий (в том числе застройка, предоставление оборудования, сувенирной, канцелярской продукции),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01" w:val="left"/>
        </w:tabs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рекламно-информационных кампаний;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01" w:val="left"/>
        </w:tabs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 обучения, в том числе мастер-классов, тренингов.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оценке также не будут учитываться иные договоры на выполнение работ (оказание услуг), не сопоставимых с предметом договора, заключаемого по результатам закупки, в том числе по организации корпоративных мероприятий, дней рождений, свадеб, промо-акций, обеспечению участия в выставках, ярмарках.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документов, подтверждающих наличие у участника закупки опыта выполнения работы, связанного с предметом контракта: копии контрактов (договоров) в полном объеме и со всеми приложениями, дополнительные соглашения (если такие приложения и дополнительные соглашения содержат оцениваемые сведения), копии актов приемки выполненных работ, оказанных услуг, а также (при наличии) иные документы, подтверждающие их исполнение, содержащие сведения о стоимости выполненных работ,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вышеуказанных договоров (контрактов), должен быть подписан не ранее чем за 5 лет до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оценке принимаются исключительно исполненные договоры (контракты), при исполнении которых подрядчиком (исполнителем) исполнены требования об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уплате неустоек (штрафов, пеней) (в случае начисления неустоек).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Представленные документы направляются в форме электронных документов или в форме электронных образов бумажных документов, на которых видны необходимые сведения, подписи и печати (при наличии)»;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«Значение количества баллов определяется по следующей формуле, предусмотренной подпунктом «ж» пункта 20 Положения: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231390" cy="518160"/>
            <wp:docPr id="19" name="Picut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231390" cy="5181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где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БХ^ - значение количества баллов по детализирующему показателю, присваиваемое заявке, подлежащей оценке;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Х1 - значение характеристики объекта закупки, содержащееся в предложении участника закупки, заявка которого подлежит оценке;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4" w:lineRule="auto"/>
        <w:ind w:left="0" w:right="0" w:firstLine="9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предельное минимальное значение характеристики объекта закупки, установленное заказчиком, соответствующее 0 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Хтах - максимальное значение характеристики объекта закупки, содержащееся в заявках, подлежащих оценке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 договора,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выполнение комплекса работ (оказание комплекса услуг) по организационно-техническому сопровождению (проведению) культурно-просветительских (в том числе семинары), деловых (включая форумы, конференции), спортивно-оздоровительных мероприятий, за исключением случаев, когда указанные работы (услуги) не носят комплексного характера, а именно если таким контрактом (договором) предусмотрено выполнение только одной из следующих категорий работ (оказание одной из следующих категорий услуг):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 проезда и/или питания и/или проживания участников мероприятий,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материально-техническое обеспечение мероприятий (в том числе застройка, предоставление оборудования, сувенирной, канцелярской продукции),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901" w:val="left"/>
        </w:tabs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рекламно-информационных кампаний;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901" w:val="left"/>
        </w:tabs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 обучения, в том числе мастер-классов, тренингов.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оценке также не будут учитываться иные договоры на выполнение работ (оказание услуг), не сопоставимых с предметом договора, заключаемого по результатам закупки, в том числе по организации корпоративных мероприятий, дней рождений, свадеб, промо-акций, обеспечению участия в выставках, ярмарках.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Перечень документов, подтверждающих наличие у участника закупки опыта выполнения работы, связанного с предметом контракта: копии контрактов (договоров) в полном объеме и со всеми приложениями, дополнительные соглашения (если такие приложения и дополнительные соглашения содержат оцениваемые сведения), копии актов приемки выполненных работ, оказанных услуг,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также (при наличии) иные документы, подтверждающие их исполнение, содержащие сведения о стоимости выполненных работ,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вышеуказанных договоров (контрактов), должен быть подписан не ранее чем за 5 лет до даты окончания срока подачи заявок».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18.09.2024 №ПРОШ ООО «Коннект» представило документы, подтверждающие наличие у указанного участника закупки исполненных контрактов/договоров, на сумму 4 907 171 881,78 руб. в количестве 1926.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согласно сведениям, полученным из сервиса ФНС России «Прозрачный бизнес» сумма выручки ООО «Коннект» за 5 лет составляет 1 631 210 тыс. руб. (2019 - 135 369 тыс. руб.; 2020 - 127 744 тыс. руб.; 2021 - 462 919 тыс. руб.; 2022 - 522 868 тыс. руб.; 2023 - 382 310 тыс. руб.).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настоящее время ООО «Коннект» находится на упрощенной системе налогообложения (далее - «УСН»).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2024 г. лимит предельного размера дохода налогоплательщика не должен превышать: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обычных ставок (6% - «доходы» и 15% - «доходы минус расходы») - 199,35 млн рублей;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повышенных ставок (8% - «доходы» и 20% - «доходы минус расходы») - 265,8 млн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2023 г. лимит предельного размера дохода налогоплательщика не должен был превышать: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обычных ставок (6% - «доходы» и 15% - «доходы минус расходы») - 188,55 млн рублей;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1" w:val="left"/>
        </w:tabs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повышенных ставок (8% - «доходы» и 20% - «доходы минус расходы») - 251,4 млн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договоров общей стоимостью 4 907 171 881,78 руб. привело бы к превышению лимита и потере права работать в рамках режима УСН.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Заявителя пояснил, что по данным СБИС, в настоящее время среднее количество сотрудников ООО «Коннект» составляет 28 человек. Учитывая наличие приблизительно 1900 шт. исполненных договоров за 5 лет, количество договоров в год в среднем составляло 380 шт. Исходя из среднего числа сотрудников ООО «Коннект», каждый сотрудник осуществлял исполнение 13 договоров одновременно, что является заведомо технически невозможным.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Заявителя, заявка ООО «Коннект» должна была быть отклонена на основании п.8 ч.12 ст. 48 Закона о контрактной системе в связи с выявлением недостоверной информации, содержащейся в заявке на участие в закупке, а именно в связи с тем, что участником закупки в составе заявки была представлена недостоверная информация о стоимости оказанных услуг (выполненных работ), что не соответствует данным бухгалтерского баланса о выручке участника закупки за 2019 - 2023 гг.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 1 ст. 106 Закона о контрактной системе лица, права и законные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представители Заказчика пояснили, что в составе заявки победитель закупки представил требуемые для оценки документы — копии контрактов (договоров), копии актов приемки выполненных работ, оказанных услуг, а также (при наличии) иные документы, подтверждающие их исполнение, содержащие сведения о стоимости выполненных работ,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победитель закупки по своему усмотрению представил в заявке реестр договоров (контрактов), копии которых были представлены им в составе заявки, с указанием соответствующих реестровых номеров в Единой информационной системе в сфере закупок (ЕИС) - в отношении договоров (контрактов), заключенных победителем закупки в соответствии с Законом о контрактной системе и Федеральным законом от 18.07.2011 № 223-ФЗ «О закупках товаров, работ, услуг отдельными видами юридических лиц».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и оценки комиссией Заказчика представленных победителем закупки в составе заявки документов и сведений, был сделан обоснованный вывод о наличии у победителя закупки опыта работы, связанного с предметом контракта и соответствующего требованиям порядка оценки заявок, а именно об исполненных 1 926 договорах на общую сумму 4 907 171 881,78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заказчика были проверены в ЕИС документы и сведения об исполнении договоров (контрактов), заключенных победителем закупки в соответствии с Законом о контрактной системе и Федеральным законом от 18.07.2011 № 223-ФЗ, в результате чего в ЕИС получено подтверждение исполнения победителем закупки таких договоров на общую сумму 4 154 136 100,62 руб. Кроме того, исполнение победителем закупки договоров на общую сумму 753 035 781,16 руб., данные которых в открытом доступе в обязательном порядке не размещаются, было проверено комиссией заказчика по представленным в составе заявки копиям договоров и документов о приемке.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 особо отметить, что в соответствии с размещенной в ЕИС информацией победителем закупки в период 2020 - 2024 гг. заключено 846 договоров (контрактов) на общую сумму 6 605 276 159 руб. (в 2020 г. - 145 613 587 руб., в 2021 г. - 602 014 984 руб., в 2022 г. - 1 421 386 918 руб., в 2023 г. - 2 066 992 413 руб., в 2024 г. - 2 369 286 257 руб.), из которых продолжает исполняться только часть договоров (контрактов), заключенных в 2024 г., а остальные договоры (контракты) являются исполненными.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Вышеуказанные обстоятельства, в совокупности с тем фактом, что при оценке по критерию «квалификация участников закупки» комиссией заказчика принимались как договоры, информация о которых размещается в ЕИС, так и любые иные гражданско-правовые договоры, заключенные участником закупки и представленные в составе заявки, подтверждают правомерность выводов комиссии заказчика о наличии у победителя закупки опыта исполнения 1 926 договоров на общую сумму 4 907 171 881,78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Проведенная комиссией Заказчика проверка сведений в ЕИС и копий представленных победителем закупки документов позволила полно, объективно и с достаточной степенью достоверности установить соответствие предоставленной информации об опыте работы требованиям порядка оценки.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заявка победителя закупки оценивалась комиссией заказчика в соответствии с установленным порядком оценки, оснований сомневаться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достоверности представленных сведений у комиссии Заказчика не имелось.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отмечает, что как следует из материалов дела, поданная ООО «Коннект», заявка требованиям извещения об осуществлении закупки соответствовала. Каких-либо оснований сомневаться в достоверности представленных в них сведений в контексте ч.5 ст.10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комиссии Заказчика не имелось, неопровержимыми доказательствами недостоверности таких сведений последний не располагал.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положения Закона о контрактной системе не содержат указание на обязанность закупочной комиссии Заказчика осуществлять проверку достоверности представленных в составе заявки сведений.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вышеизложенного Комиссия Управления приходит к выводу, что довод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Комиссией Управления в составе заявки участника закупки ООО «Коннект» (ИНН 7325140324), представлены сведения о наличии опыта выполнения работ сопоставимого с объектом закупки характера, в том числе по договорам: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2021.24 от 13.09.2021 заключенный с ООО «Проект» (ИНН 7325106450) на услуги по организации и проведению Всероссийского фестиваля «Скорлупино- 2021» на сумму 2 583 630,00 и исполненный 10.11.2021;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8 от 03.09.2019 заключенный с ООО «ТОП ГРУПП» (ИНН 7802679446) на услуги по организации мероприятия: Форум «Российско-корейское практическое сотрудничество ради мира и процветания» на сумму 3 000 000,00 и исполненный 30.09.2019.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проверки сведений, содержащихся в бухгалтерской (финансовой) отчетности, предусмотрено п. 5 ч. 1 ст. 31 Закона о контрактной системе при установлении заказчиками факта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целях соблюдения положений Закона о контрактной системе заказчики учитываются сведения, содержащиеся в бухгалтерской (финансовой) отчетности участников закупок, в том числе посредством использования государственного информационного ресурса (ч. 9 ст. 18 Закона о бухгалтерском учете).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ст.9 Закона о бухгалтерском учете каждый факт хозяйственной жизни подлежит оформлению первичным учетным документом. Не допускается принятие к бухгалтерскому учету документов, которыми оформляются не имевшие места факты хозяйственной жизни, в том числе лежащие в основе мнимых и притворных сделок.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04" w:left="10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 Закона о бухгалтерском учете, содержащиеся в первичных учетных документах, подлежат своевременной регистрации и накоплению в регистрах бухгалтерского учета.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ст.13 Закона о бухгалтерском учете бухгалтерская (финансовая) отчетность должна давать достоверное представление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необходимое пользователям этой отчетности для принятия экономических решений. Бухгалтерская (финансовая) отчетность должна составляться на основе данных, содержащихся в регистрах бухгалтерского учета, а также информации, определенной федеральными и отраслевыми стандартами.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силу ч. 11 ст. 13 Закона о бухгалтерском учете в отношении бухгалтерской (финансовой) отчетности не может быть установлен режим коммерческой тайны.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ст.14 Закона о бухгалтерском учете годовая бухгалтерская (финансовая) отчетность, за исключением случаев, установленных Законом о бухгалтерском учете, состоит из бухгалтерского баланса, отчета о финансовых результатах и приложений к ним.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26 «Приказа Минфина России от 29.07.1998 № 34н «Об утверждении Положения по ведению бухгалтерского учета и бухгалтерской отчетности в Российской Федерации» для обеспечения достоверности данных бухгалтерского учета и бухгалтерской отчетности организации обязаны проводить инвентаризацию имущества и обязательств, в ходе которой проверяются и документально подтверждаются их наличие, состояние и оценка.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(количество инвентаризаций в отчетном году, даты их проведения, перечень имущества и обязательств, проверяемых при каждой из них, и т.д.) проведения инвентаризации определяется руководителем организации, за исключением случаев, когда проведение инвентаризации обязательно.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ч.9 ст.18 Закона о бухгалтерском учете заинтересованным лицам обеспечивается доступ к информации, содержащейся в государственном информационном ресурсе. Правительство Российской Федерации вправе определить случаи, в которых доступ к указанной информации может быть ограничен, а также порядок ограничения и возобновления такого доступа. В случаях, определенных Правительством Российской Федерации, ограничение или возобновление доступа к такой информации осуществляется федеральным органом исполнительной власти, уполномоченным по контролю и надзору в области налогов и сборов, по заявлению организации, доступ к информации о которой ограничивается или возобновляется. Указанное заявление представляется в федеральный орган исполнительной власти, уполномоченный по контролю и надзору в области налогов и сборов, по форме, формату и в порядке, которые утверждаются этим органом. Указанная информация, доступ к которой ограничен в соответствии с настоящей частью, может быть предоставлена исключительно органам государственной власти, иным государственным органам, органам местного самоуправления, государственным внебюджетным фондам и Центральному банку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  <w:rPr>
          <w:sz w:val="22"/>
          <w:szCs w:val="22"/>
        </w:rPr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п.11 ч.1 ст.102 Налогового кодекса Российской Федерации налоговую тайну составляют любые полученные налоговым органом, органами внутренних дел, следственными органами, органом государственного внебюджетного фонда и таможенным органом сведения о налогоплательщике, плательщике страховых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2024-46213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взносов, за исключением сведений, о суммах доходов и расходов по данным бухгалтерской (финансовой) отчетности организации за год, предшествующий году размещения указанных сведений в информационно-телекоммуникационной сети «Интернет».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п.3.2. договора № 2021.24 от 13.09.2021 оплата цены Договора путем перечисления безналичных денежных средств за оказанные услуги производится Заказчиком, на основании подписанного Акта сдачи-приемки оказанных услуг в течение 15 (пятнадцати) рабочих дней с даты получения денежных средств от Государственного Заказчика за оказанные услуги по государственному контракту по выставленному Исполнителем счету;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п.3.1 договора № 8 от 03.09.2019 оплата Услуг осуществляется в рублях по безналичному расчету платежными поручениями путем перечисления Заказчиком денежных средств на расчетный счет Исполнителя, указанный в настоящем Договоре, следующим образом: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30% - авансовый платеж в течение 15 банковских дней с момента выставления счета со стороны Исполнителя. Счет выставляется в течение 5 рабочих дней со дня подписания договора Сторонами.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70% - в течение 18 дней после подписания Заказчиком акта об оказании Услуг (приложение № 3 к настоящему Договору), подписанного Сторонами, с предоставлением счета и счета-фактуры (в случае, если Исполнитель обязан выставить счет-фактуру в соответствии с требованиями действующего законодательства).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Комиссия Управления, в рамках межведомственного взаимодействия, имела возможность проверки достоверности договоров, используемых ООО «Коннект» в качестве подтверждения опыта поставки товара, выполнения работы, оказания услуги, связанного с предметом договора.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исходя из финансовой отчетности, ООО «Коннект» отсутствуют взаимоотношения с ООО «Проект» и ООО «ТОП ГРУПП» по книгам продаж, а также поступления денежных средств на расчетный счет ООО «Коннект» от указанных контрагентов в выписке по операциям.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обращает внимание, что представитель ООО «Коннект» присутствовал на заседании, при этом участником не представлено возражений в подтверждение достоверности представленных сведений в составе своей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отмечает, что у комиссии Заказчика отсутствовала объективная возможность и необходимость проверки достоверности информации, представленной в составе заявки ООО «Коннект», однако, основываясь на вышеизложенном, Комиссия Управления приходит к выводу, что в составе заявки общества содержатся недостоверные сведения в отношении представленных сведений, ввиду чего комиссии Заказчика надлежит отстранить ООО «Коннект» от участия в конкурентной процедуре на основании представления недостоверной информации в составе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АО «МарКом» на действия комиссии РАНХиГС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32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356235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469900</wp:posOffset>
                </wp:positionV>
                <wp:extent cx="185039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57.700000000000003pt;margin-top:37.pt;width:145.70000000000002pt;height:19.699999999999999pt;z-index:-125829370;mso-wrap-distance-left:0;mso-wrap-distance-top:3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06730" distB="0" distL="0" distR="1789430" simplePos="0" relativeHeight="125829385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506730</wp:posOffset>
            </wp:positionV>
            <wp:extent cx="389890" cy="572770"/>
            <wp:wrapTopAndBottom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945515</wp:posOffset>
                </wp:positionV>
                <wp:extent cx="1280160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0.90000000000003pt;margin-top:7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631825</wp:posOffset>
                </wp:positionV>
                <wp:extent cx="1725295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30000000000001pt;margin-top:49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356235" distL="0" distR="0" simplePos="0" relativeHeight="125829386" behindDoc="0" locked="0" layoutInCell="1" allowOverlap="1">
                <wp:simplePos x="0" y="0"/>
                <wp:positionH relativeFrom="page">
                  <wp:posOffset>6182360</wp:posOffset>
                </wp:positionH>
                <wp:positionV relativeFrom="paragraph">
                  <wp:posOffset>469900</wp:posOffset>
                </wp:positionV>
                <wp:extent cx="1029970" cy="25019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486.80000000000001pt;margin-top:37.pt;width:81.100000000000009pt;height:19.699999999999999pt;z-index:-125829367;mso-wrap-distance-left:0;mso-wrap-distance-top:3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СЕРГЕЙ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000590946031СЕ073ВЕ5С5Э6ЕЕ7501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277.30000000000001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9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77.30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008АВСВВ2401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94.70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3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7.pt;margin-top:794.70000000000005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7.pt;margin-top:794.70000000000005pt;width:56.899999999999999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7.05000000000001pt;margin-top:37.5pt;width:10.1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7.30000000000001pt;margin-top:37.5pt;width:10.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7.05000000000001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7.30000000000001pt;margin-top:37.5pt;width:10.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307.05000000000001pt;margin-top:37.5pt;width:10.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header" Target="header4.xml"/><Relationship Id="rId20" Type="http://schemas.openxmlformats.org/officeDocument/2006/relationships/footer" Target="footer4.xml"/><Relationship Id="rId21" Type="http://schemas.openxmlformats.org/officeDocument/2006/relationships/header" Target="header5.xml"/><Relationship Id="rId22" Type="http://schemas.openxmlformats.org/officeDocument/2006/relationships/footer" Target="footer5.xml"/><Relationship Id="rId23" Type="http://schemas.openxmlformats.org/officeDocument/2006/relationships/header" Target="header6.xml"/><Relationship Id="rId24" Type="http://schemas.openxmlformats.org/officeDocument/2006/relationships/footer" Target="footer6.xm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Relationship Id="rId27" Type="http://schemas.openxmlformats.org/officeDocument/2006/relationships/image" Target="media/image6.jpeg"/><Relationship Id="rId28" Type="http://schemas.openxmlformats.org/officeDocument/2006/relationships/image" Target="media/image6.jpeg" TargetMode="External"/><Relationship Id="rId29" Type="http://schemas.openxmlformats.org/officeDocument/2006/relationships/image" Target="media/image7.jpeg"/><Relationship Id="rId30" Type="http://schemas.openxmlformats.org/officeDocument/2006/relationships/image" Target="media/image7.jpeg" TargetMode="External"/></Relationships>
</file>