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79"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21665" cy="70104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1665" cy="701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5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УПРАВЛЕНИЕ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Федеральной антимонопольной службы</w:t>
        <w:br/>
        <w:t>по Вологодской области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36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160000, г. Вологда, ул. Пушкинская, 25, тел. (8172)72-99-70; факс (8172)72-46-64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е-гпаП: </w:t>
      </w:r>
      <w:r>
        <w:rPr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1о35@&amp;8.%оу.ги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11Нр://уо1о§с1а.Га8.§оу.ги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/>
        <w:ind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470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«БРОКЕР ГРУПП»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/>
        <w:ind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470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Вологодского муниципального округа Вологодской области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/>
        <w:ind w:right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Уполномоченное учреждение:</w:t>
      </w:r>
      <w:bookmarkEnd w:id="4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470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КУ ВО «Центр закупок»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/>
        <w:ind w:right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6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60" w:line="254" w:lineRule="auto"/>
        <w:ind w:left="470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035/06/31-781/2024</w:t>
      </w:r>
      <w:bookmarkEnd w:id="8"/>
    </w:p>
    <w:p>
      <w:pPr>
        <w:pStyle w:val="Style4"/>
        <w:keepNext w:val="0"/>
        <w:keepLines w:val="0"/>
        <w:widowControl w:val="0"/>
        <w:shd w:val="clear" w:color="auto" w:fill="auto"/>
        <w:tabs>
          <w:tab w:pos="8518" w:val="left"/>
        </w:tabs>
        <w:bidi w:val="0"/>
        <w:spacing w:before="0" w:after="28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«01» октября 2024 г.</w:t>
        <w:tab/>
        <w:t>г. Вологда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по контролю в сфере закупок Управления Федеральной антимонопольной службы по Вологодской области (далее - комиссия Управления) в составе: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Смышляева И.А. - председатель комиссии Управления, начальник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Шпякина М.А. - член комиссии Управления, заместитель начальника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Косонога Е.А. - член комиссии Управления, старший специалист 1 разряда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рассмотрев с использованием видеоконференцсвязи жалобу ООО «БРОКЕР ГРУПП» (далее - Заявитель) на положения извещения о проведении электронного аукциона, предмет закупки - разработка проектной документации на рекультивацию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объектов размещения отходов , подлежащих рекультивации после завершения их эксплуатации - «Проект рекультивации полигона твёрдых бытовых отходов у п. Уткино Вологодского района» местонахождение: вблизи п. Уткино в ур. Рылово КН земельного участка 35:25:0602078:2 КН объекта 35:25:0602010:572, извещение № 0830500000224003784 (далее - электронный аукцион, закупка), Заказчик - Администрация Вологодского муниципального округа Вологодской области, Уполномоченное учреждение - КУ ВО «Центр закупок», при участии,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представителей Заказчика,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представителя Уполномоченного учреждения,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отсутствие представителя Заявителя (уведомлен надлежащим образом о времени и месте рассмотрения жалобы),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24.09.2024 в Управление Федеральной антимонопольной службы по Вологодской области (далее - Управление) посредством единой информационной системы в сфере закупок (далее - ЕИС) поступила жалоба Заявителя на положения извещения о проведении электронного аукциона, противоречащие 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Заявителя подана в надлежащий срок, а также соответствует требованиям, предусмотренным ст. 105 Закона о контрактной системе.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обжалует положения извещения о проведении электронного аукциона.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в извещении о проведении электронного аукциона неправомерно установлены требования к участникам закупки в соответствии с п. 1 ч. 1 ст. 31 и ч. 2 ст. 31 Закона о контрактной системе.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представил возражения на жалобу, согласно которым, жалоба является необоснованной.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Уполномоченное учреждение представило возражения на жалобу, согласно которым, доводы Заявителя несостоятельны.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Управления, рассмотрев представленные материалы в их совокупности, заслушав представителей Заказчика и Уполномоченного учреждения, пришла к следующему выводу.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13.09.2024 в ЕИС размещено извещение № 0830500000224003784 о проведении электронного аукциона от 13.09.2024.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контракта: 10 830 666,67 руб.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и время начала срока подачи заявок: 13.09.2024 в 14 ч. 58 мин.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и время окончания срока подачи заявок: 25.09.2024 в 08 ч. 00 мин.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проведения процедуры подачи предложений о цене контракта либо о сумме цен единиц товара, работы, услуги: 25.09.2024.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исполнителя): 27.09.2024.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1 ч. 1 при применении конкурентных способов, при осуществлении закупки у единственного поставщика (подрядчика, исполнителя) в случаях, предусмотренных п. 4, 5, 18, 30, 42, 49, 54 и 59 ч. 1 ст. 93 Закона о контрактной системе, заказчик устанавливает требования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силу ч. 2 ст. 31 Закона о контрактной системе Правительство Российской Федерации вправе устанавливать к участникам закупок отдельных видов товаров, работ,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услуг, участникам отдельных видов закупок дополнительные требования, в том числе к наличию: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Правительства Российской Федерации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 № 2571) установлены дополнительные требования к участникам закупки отдельных видов товаров, работ, услуг, участникам отдельных видов закупок товаров, работ, услуг для обесепечения государственных и муниципальных нужд.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позиции 6 раздела П приложения к Постановлению № 2571 установлены дополнительные требования к участникам закупки при работах по подготовке проектной документации и (или) выполнению инженерных изысканий в соответствии с законодательством о градостроительной деятельности.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3 Постановления № 2571 установлено, что позиции 6 - 13, 17 и 18 приложения к Постановлению № 2571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12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ЕИС, подписывает усиленной электронной подписью лица, имеющего право действовать от имени заказчика, и размещает в ЕИС извещение об осуществлении закупки, содержащее требования, предъявляемые к участникам закупки в соответствии с ч. 1 ст. 31 Закона о контрактной системе, требования, предъявляемые к участникам закупки в соответствии с ч. 2 и 2.1 (при наличии таких требований) ст.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 1.1 ст. 31 Закона о контрактной системе (при наличии такого требования).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914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извещении о проведении электронного аукциона установлено следующее требование к участникам закупки в соответствии с п. 1 ч. 1 ст. 31 Закона о контрактной системе: «Участник закупки должен являться членом саморегулируемой организации в области архитектурно-строительного проектирования (СРО) (ч.4</w:t>
        <w:tab/>
        <w:t>ст.48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Градостроительного кодекса РФ (ГрК)) и иметь право в соответствии с требованиями ч.З ст. 55.8 ГрК осуществлять подготовку проектной документации (внесение изменений в проектную документацию в соответствии с ч.З.8,3.9 ст.49 ГрК) в отношении объектов капитального строительства (кроме особо опасных, технически сложных и уникальных объектов, объектов использования атомной энергии) по договору подряда на подготовку проектной документации, заключаемому с использованием конкурентных способов заключения договоров. При этом: - совокупный размер обязательств по договорам, которые заключены с использованием конкурентных способов заключения договоров, не должен превышать (с учетом цены контракта, заключаемого по результатам настоящей закупки) предельный размер обязательств, исходя из которого таким лицом был внесен взнос в компенсационный фонд обеспечения договорных обязательств в соответствии с ч.И ст.55.16 ГрК; - цена контракта, заключаемого по результатам настоящей закупки, с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учетом предложения участника закупки, не превышает уровень ответственности, исходя из которого членом СРО внесен взнос в компенсационный фонд возмещения вреда в соответствии с ч.Ю ст.55.16 ГрК. Сведения, подтверждающие соответствие участника вышеуказанным требованиям, должны содержаться в Едином реестре сведений о членах саморегулируемых организаций и их обязательствах в части сведений о членах саморегулируемых организаций в области архитектурно-строительного проектирования (ст.55.17 ГрК). Указанные требования не распространяются на случаи, предусмотренные ч.4.1 ст.48 ГрК».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в извещении о проведении электронного аукциона установлены дополнительные требования к участникам закупки в соответствии с ч. 2 ст. 31 Закона о контрактной системе - позиция 6 раздела II приложения к Постановлению № 2571.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ч. 5 ст. 13 Земельного кодекса Российской Федерации и п. 2 Правил проведения рекультивации и консервации земель, утвержденных постановлением Правительства Российской Федерации от 10.07.2018 № 800 «О проведении рекультивации и консервации земель» рекультивация земель - мероприятия по предотвращению деградации земель и (или) восстановлению их плодородия посредством приведения земель в состояние, пригодное для их использования в соответствии с целевым назначением и разрешенным использованием, в том числе путем устранения последствий загрязнения почвы, восстановления плодородного слоя почвы и создания защитных лесных насаждений.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1.8 «Описания объекта закупки» разрешенное использование земельного участка - для размещения площадки твердых бытовых отходов.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п. 4.11 ГОСТ 30772-2001 «Ресурсосбережение. Обращение с отходами. Термины и определения» объекты размещения отходов - полигоны, шламохранилища, хвостохранилища и другие сооружения, обустроенные и эксплуатируемые в соответствии с экологическими требованиями, а также специально оборудованные места для хранения отходов на предприятиях в определенных количествах и на установленные сроки.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23 ч. 2 ст. 2 Федерального закона от 30.12.2009 № 384-ФЭ «Технический регламент о безопасности зданий и сооружений» установлено, что сооружение - результат строительства, представляющий собой объемную, плоскостную или линейную строительную систему, имеющую наземную, надземную и (или) подземную части, состоящую из несущих, а в отдельных случаях и ограждающих строительных конструкций и предназначенную для выполнения производственных процессов различного вида, хранения продукции, временного пребывания людей, перемещения людей и грузов.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10 ст. 1 Градостроительного кодекса Российской Федерации определено понятие объекта капитального строительства - здание, строение, сооружение, объекты, строительство которых не завершено (далее - объекты незавершенного строительства), за исключением некапитальных строений, сооружений и неотделимых улучшений земельного участка (замощение, покрытие и другие).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совокупного толкования указанных выше норм, объект размещения отходов является объектом капитального строительства.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2.5, 2.6 «Описания объекта закупки» при рекультивации площадки для складирования отходов предусмотрены, в том числе, следующие работы: устройство закрытой системы сбора и удаления фильтрата путем вывоза на очистные сооружения, создание системы сбора и удаления и нейтрализации биогаза, устройство системы сбора и отвод дождевой и поверхностной воды, демонтаж существующих зданий и сооружений, устройство системы электроснабжения сооружений и наружного освещения площадки с учетом мер по электробезопасности на период проведения работ по рекультивации объекта, устройство системы водоотведения со сбором фильтрата.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указанном случае, рекультивация объекта размещения отходов является частным случаем реконструкции объекта. Работы должны выполняться в соответствии с проектной документацией, разработанной с учетом требований Градостроительного кодекса Российской Федерации и постановлением Правительства Российской Федерации от 16.02.2008 № 87 «О составе разделов проектной документации и требованиях к их содержанию».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Данная позиция отражена в письме ФАУ «Главгосэкспертиза России» от 02.11.2020 № 01-01-17/15667-СБ.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вышеизложенным, в извещении о проведении электронного аукциона правомерно установлены требования к участникам закупки в соответствии с п. 1 ч. 1 ст. 31 и ч. 2 ст. 31 Закона о контрактной системе.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Управления приходит к выводу о том, что довод Заявителя не нашел своего подтверждения.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1 ч. 15 ст. 99 Закона о контрактной системе, комиссия Управления провела внеплановую проверку, по результатам которой нарушений не установлено.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комиссия Управления, руководствуясь ст. ст. 99, 106 Закона о контрактной системе,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2"/>
    </w:p>
    <w:p>
      <w:pPr>
        <w:pStyle w:val="Style4"/>
        <w:keepNext w:val="0"/>
        <w:keepLines w:val="0"/>
        <w:widowControl w:val="0"/>
        <w:shd w:val="clear" w:color="auto" w:fill="auto"/>
        <w:tabs>
          <w:tab w:pos="1372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</w:t>
        <w:tab/>
        <w:t>Признать жалобу ООО «БРОКЕР ГРУПП» необоснованной.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Требование о приостановке определения поставщика (подрядчика, исполнителя) в части подписания контракта, установленное Управлением на основании ч. 7 ст. 106 Закона о контрактной системе, отменить.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drawing>
          <wp:anchor distT="0" distB="164465" distL="114300" distR="146050" simplePos="0" relativeHeight="125829378" behindDoc="0" locked="0" layoutInCell="1" allowOverlap="1">
            <wp:simplePos x="0" y="0"/>
            <wp:positionH relativeFrom="page">
              <wp:posOffset>4132580</wp:posOffset>
            </wp:positionH>
            <wp:positionV relativeFrom="paragraph">
              <wp:posOffset>114300</wp:posOffset>
            </wp:positionV>
            <wp:extent cx="2663825" cy="1005840"/>
            <wp:wrapSquare wrapText="left"/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63825" cy="10058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5664200</wp:posOffset>
                </wp:positionH>
                <wp:positionV relativeFrom="paragraph">
                  <wp:posOffset>1094740</wp:posOffset>
                </wp:positionV>
                <wp:extent cx="1165860" cy="187325"/>
                <wp:wrapNone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586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Е.А. Косоногова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446.pt;margin-top:86.200000000000003pt;width:91.799999999999997pt;height:14.7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Е.А. Косоногова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месяцев со дня его принятия.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sectPr>
      <w:headerReference w:type="default" r:id="rId9"/>
      <w:headerReference w:type="first" r:id="rId10"/>
      <w:footnotePr>
        <w:pos w:val="pageBottom"/>
        <w:numFmt w:val="decimal"/>
        <w:numRestart w:val="continuous"/>
      </w:footnotePr>
      <w:pgSz w:w="11900" w:h="16840"/>
      <w:pgMar w:top="1102" w:right="1088" w:bottom="990" w:left="1066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6770370</wp:posOffset>
              </wp:positionH>
              <wp:positionV relativeFrom="page">
                <wp:posOffset>450215</wp:posOffset>
              </wp:positionV>
              <wp:extent cx="54610" cy="8890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889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33.10000000000002pt;margin-top:35.450000000000003pt;width:4.2999999999999998pt;height:7.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Основной текст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Заголовок №1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Основной текст"/>
    <w:basedOn w:val="Normal"/>
    <w:link w:val="CharStyle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auto"/>
      <w:spacing w:line="254" w:lineRule="auto"/>
      <w:ind w:left="4700" w:firstLine="2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