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813435" distL="193675" distR="193675" simplePos="0" relativeHeight="125829378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469265</wp:posOffset>
                </wp:positionV>
                <wp:extent cx="2435225" cy="14084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04.10.2024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41069/24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3.5pt;margin-top:36.950000000000003pt;width:191.75pt;height:110.90000000000001pt;z-index:-125829375;mso-wrap-distance-left:15.25pt;mso-wrap-distance-top:4.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04.10.2024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41069/24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4800" distB="0" distL="114300" distR="114300" simplePos="0" relativeHeight="125829380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1993265</wp:posOffset>
            </wp:positionV>
            <wp:extent cx="2597150" cy="7010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МГТУ им. Н. Э. Баумана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одрг@Ът8Ш.ги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«Солярис»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8оКап8.8@Ък.ги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476" w:bottom="621" w:left="1601" w:header="0" w:footer="3" w:gutter="0"/>
          <w:cols w:num="2" w:space="1544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тГо@8ЪегЪапк-а81:.ги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8" w:right="0" w:bottom="7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по делу №077/06/106-13424/2024 об устранении нарушении</w:t>
        <w:br/>
        <w:t>законодательства о контрактной системе</w:t>
      </w:r>
    </w:p>
    <w:p>
      <w:pPr>
        <w:pStyle w:val="Style19"/>
        <w:keepNext/>
        <w:keepLines/>
        <w:widowControl w:val="0"/>
        <w:shd w:val="clear" w:color="auto" w:fill="auto"/>
        <w:tabs>
          <w:tab w:pos="8534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  <w:tab/>
        <w:t>Москва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80" w:line="240" w:lineRule="auto"/>
        <w:ind w:left="0" w:right="0" w:firstLine="70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основании решения Комиссии Управления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от 02.10.2024 по делу №077/06/106-13424/2024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, по итогам рассмотрения жалобы ООО «Солярис» (далее — Заявитель) на действия МГТУ им. Н. Э. Баумана (далее — Заказчик) при проведении открытого конкурса в электронной форме на право заключения государственного контракта на оказание услуг комплексной уборки зданий и прилегающей территории (КВР 244) (Закупка № 0373100076524000404) (далее -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аннулировать определение поставщика (подрядчика, исполнителя) в форме открытого конкурса в электронной форме на право заключения государственного контракта на оказание услуг комплексной уборки зданий и прилегающей территории (КВР 244) (Закупка № 0373100076524000404).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Заказчиком п.1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 (495) 607-42-92) или электронной почте по адресу: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1()77@Га$.доу.ги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02.10.2024 по делу №077/06/106-13424/2024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 (Арбитражном суде)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8" w:right="528" w:bottom="770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9410" distL="0" distR="0" simplePos="0" relativeHeight="125829381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99999999999999pt;margin-top:10.pt;width:145.70000000000002pt;height:19.699999999999999pt;z-index:-125829372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3" behindDoc="0" locked="0" layoutInCell="1" allowOverlap="1">
            <wp:simplePos x="0" y="0"/>
            <wp:positionH relativeFrom="page">
              <wp:posOffset>3180080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3637280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6.40000000000003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3594735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3.05000000000001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9410" distL="0" distR="0" simplePos="0" relativeHeight="125829384" behindDoc="0" locked="0" layoutInCell="1" allowOverlap="1">
                <wp:simplePos x="0" y="0"/>
                <wp:positionH relativeFrom="page">
                  <wp:posOffset>6184900</wp:posOffset>
                </wp:positionH>
                <wp:positionV relativeFrom="paragraph">
                  <wp:posOffset>127000</wp:posOffset>
                </wp:positionV>
                <wp:extent cx="10299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7.pt;margin-top:10.pt;width:81.100000000000009pt;height:19.699999999999999pt;z-index:-125829369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000590946031СЕ073ВЕ5С506ЕЕ7501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по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3179445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3636645</wp:posOffset>
                </wp:positionH>
                <wp:positionV relativeFrom="paragraph">
                  <wp:posOffset>462915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6.35000000000002pt;margin-top:36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3594100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3.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00803Е817690Е8688001Е612СЗС6В74577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3179445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3636645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6.35000000000002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3594100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3.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ВЗВВ45854ОЕВ6С993Е00602С0ЕВЕЕС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07.09.2023 по 30.11.2024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10267315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2024-46594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149999999999999pt;margin-top:808.45000000000005pt;width:57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2024-46594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2024-46594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2024-46594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Основной текст (5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after="2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9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