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475" w:wrap="none" w:hAnchor="page" w:x="1601" w:y="135"/>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framePr w:w="3221" w:h="475" w:wrap="none" w:hAnchor="page" w:x="1601" w:y="135"/>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framePr w:w="2501" w:h="682" w:wrap="none" w:hAnchor="page" w:x="6406"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«РЕМСТРОЙ»</w:t>
      </w:r>
    </w:p>
    <w:p>
      <w:pPr>
        <w:pStyle w:val="Style5"/>
        <w:keepNext w:val="0"/>
        <w:keepLines w:val="0"/>
        <w:framePr w:w="2501" w:h="682" w:wrap="none" w:hAnchor="page" w:x="6406" w:y="1"/>
        <w:widowControl w:val="0"/>
        <w:shd w:val="clear" w:color="auto" w:fill="auto"/>
        <w:bidi w:val="0"/>
        <w:spacing w:before="0" w:after="0" w:line="211" w:lineRule="auto"/>
        <w:ind w:left="0" w:right="0" w:firstLine="0"/>
        <w:jc w:val="left"/>
      </w:pPr>
      <w:r>
        <w:rPr>
          <w:color w:val="000000"/>
          <w:spacing w:val="0"/>
          <w:w w:val="100"/>
          <w:position w:val="0"/>
          <w:shd w:val="clear" w:color="auto" w:fill="auto"/>
          <w:lang w:val="ru-RU" w:eastAsia="ru-RU" w:bidi="ru-RU"/>
        </w:rPr>
        <w:t>геет§81;8@тай.ги</w:t>
      </w:r>
    </w:p>
    <w:p>
      <w:pPr>
        <w:pStyle w:val="Style2"/>
        <w:keepNext w:val="0"/>
        <w:keepLines w:val="0"/>
        <w:framePr w:w="1411" w:h="240" w:wrap="none" w:hAnchor="page" w:x="2513" w:y="803"/>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pStyle w:val="Style2"/>
        <w:keepNext w:val="0"/>
        <w:keepLines w:val="0"/>
        <w:framePr w:w="1138" w:h="240" w:wrap="none" w:hAnchor="page" w:x="2653" w:y="1259"/>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5"/>
        <w:keepNext w:val="0"/>
        <w:keepLines w:val="0"/>
        <w:framePr w:w="3326" w:h="677" w:wrap="none" w:hAnchor="page" w:x="6411" w:y="851"/>
        <w:widowControl w:val="0"/>
        <w:shd w:val="clear" w:color="auto" w:fill="auto"/>
        <w:bidi w:val="0"/>
        <w:spacing w:before="0" w:after="0" w:line="209" w:lineRule="auto"/>
        <w:ind w:left="0" w:right="0" w:firstLine="0"/>
        <w:jc w:val="left"/>
      </w:pPr>
      <w:r>
        <w:rPr>
          <w:color w:val="000000"/>
          <w:spacing w:val="0"/>
          <w:w w:val="100"/>
          <w:position w:val="0"/>
          <w:shd w:val="clear" w:color="auto" w:fill="auto"/>
          <w:lang w:val="ru-RU" w:eastAsia="ru-RU" w:bidi="ru-RU"/>
        </w:rPr>
        <w:t>УСД в Московской области /а1&lt;ир1&lt;1-118с1-1по@уа11с1е.х.П1</w:t>
      </w:r>
    </w:p>
    <w:p>
      <w:pPr>
        <w:widowControl w:val="0"/>
        <w:spacing w:line="360" w:lineRule="exact"/>
      </w:pPr>
    </w:p>
    <w:p>
      <w:pPr>
        <w:widowControl w:val="0"/>
        <w:spacing w:line="360" w:lineRule="exact"/>
      </w:pPr>
    </w:p>
    <w:p>
      <w:pPr>
        <w:widowControl w:val="0"/>
        <w:spacing w:line="360" w:lineRule="exact"/>
      </w:pPr>
    </w:p>
    <w:p>
      <w:pPr>
        <w:widowControl w:val="0"/>
        <w:spacing w:after="445" w:line="1" w:lineRule="exact"/>
      </w:pPr>
    </w:p>
    <w:p>
      <w:pPr>
        <w:widowControl w:val="0"/>
        <w:spacing w:line="1" w:lineRule="exac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24" w:right="532" w:bottom="650" w:left="1106"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1259840</wp:posOffset>
                </wp:positionH>
                <wp:positionV relativeFrom="paragraph">
                  <wp:posOffset>12700</wp:posOffset>
                </wp:positionV>
                <wp:extent cx="1557655" cy="292735"/>
                <wp:wrapTopAndBottom/>
                <wp:docPr id="5" name="Shape 5"/>
                <a:graphic xmlns:a="http://schemas.openxmlformats.org/drawingml/2006/main">
                  <a:graphicData uri="http://schemas.microsoft.com/office/word/2010/wordprocessingShape">
                    <wps:wsp>
                      <wps:cNvSpPr txBox="1"/>
                      <wps:spPr>
                        <a:xfrm>
                          <a:ext cx="155765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wps:txbx>
                      <wps:bodyPr lIns="0" tIns="0" rIns="0" bIns="0">
                        <a:noAutoFit/>
                      </wps:bodyPr>
                    </wps:wsp>
                  </a:graphicData>
                </a:graphic>
              </wp:anchor>
            </w:drawing>
          </mc:Choice>
          <mc:Fallback>
            <w:pict>
              <v:shape id="_x0000_s1031" type="#_x0000_t202" style="position:absolute;margin-left:99.200000000000003pt;margin-top:1.pt;width:122.65000000000001pt;height:23.05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v:textbox>
                <w10:wrap type="topAndBottom" anchorx="page"/>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4067175</wp:posOffset>
                </wp:positionH>
                <wp:positionV relativeFrom="paragraph">
                  <wp:posOffset>67310</wp:posOffset>
                </wp:positionV>
                <wp:extent cx="1195070" cy="454025"/>
                <wp:wrapSquare wrapText="left"/>
                <wp:docPr id="7" name="Shape 7"/>
                <a:graphic xmlns:a="http://schemas.openxmlformats.org/drawingml/2006/main">
                  <a:graphicData uri="http://schemas.microsoft.com/office/word/2010/wordprocessingShape">
                    <wps:wsp>
                      <wps:cNvSpPr txBox="1"/>
                      <wps:spPr>
                        <a:xfrm>
                          <a:ext cx="1195070" cy="454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ЭТП ТЭК-Торг</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Ъе1р@1ек1огд.ги</w:t>
                            </w:r>
                          </w:p>
                        </w:txbxContent>
                      </wps:txbx>
                      <wps:bodyPr lIns="0" tIns="0" rIns="0" bIns="0">
                        <a:noAutoFit/>
                      </wps:bodyPr>
                    </wps:wsp>
                  </a:graphicData>
                </a:graphic>
              </wp:anchor>
            </w:drawing>
          </mc:Choice>
          <mc:Fallback>
            <w:pict>
              <v:shape id="_x0000_s1033" type="#_x0000_t202" style="position:absolute;margin-left:320.25pt;margin-top:5.2999999999999998pt;width:94.100000000000009pt;height:35.75pt;z-index:-12582937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ЭТП ТЭК-Торг</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Ъе1р@1ек1огд.ги</w:t>
                      </w:r>
                    </w:p>
                  </w:txbxContent>
                </v:textbox>
                <w10:wrap type="square" side="left" anchorx="page"/>
              </v:shape>
            </w:pict>
          </mc:Fallback>
        </mc:AlternateContent>
      </w:r>
      <w:r>
        <mc:AlternateContent>
          <mc:Choice Requires="wps">
            <w:drawing>
              <wp:anchor distT="0" distB="0" distL="0" distR="0" simplePos="0" relativeHeight="125829382" behindDoc="0" locked="0" layoutInCell="1" allowOverlap="1">
                <wp:simplePos x="0" y="0"/>
                <wp:positionH relativeFrom="page">
                  <wp:posOffset>708660</wp:posOffset>
                </wp:positionH>
                <wp:positionV relativeFrom="paragraph">
                  <wp:posOffset>5635625</wp:posOffset>
                </wp:positionV>
                <wp:extent cx="6492240" cy="457200"/>
                <wp:wrapTopAndBottom/>
                <wp:docPr id="9" name="Shape 9"/>
                <a:graphic xmlns:a="http://schemas.openxmlformats.org/drawingml/2006/main">
                  <a:graphicData uri="http://schemas.microsoft.com/office/word/2010/wordprocessingShape">
                    <wps:wsp>
                      <wps:cNvSpPr txBox="1"/>
                      <wps:spPr>
                        <a:xfrm>
                          <a:ext cx="6492240" cy="457200"/>
                        </a:xfrm>
                        <a:prstGeom prst="rect"/>
                        <a:noFill/>
                      </wps:spPr>
                      <wps:txbx>
                        <w:txbxContent>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УСД в Московской области: Григоряна Д.О. (по доверенности № УСД-5/4742 от 11.09.2024);</w:t>
                            </w:r>
                          </w:p>
                        </w:txbxContent>
                      </wps:txbx>
                      <wps:bodyPr lIns="0" tIns="0" rIns="0" bIns="0">
                        <a:noAutoFit/>
                      </wps:bodyPr>
                    </wps:wsp>
                  </a:graphicData>
                </a:graphic>
              </wp:anchor>
            </w:drawing>
          </mc:Choice>
          <mc:Fallback>
            <w:pict>
              <v:shape id="_x0000_s1035" type="#_x0000_t202" style="position:absolute;margin-left:55.800000000000004pt;margin-top:443.75pt;width:511.19999999999999pt;height:36.pt;z-index:-125829371;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УСД в Московской области: Григоряна Д.О. (по доверенности № УСД-5/4742 от 11.09.2024);</w:t>
                      </w:r>
                    </w:p>
                  </w:txbxContent>
                </v:textbox>
                <w10:wrap type="topAndBottom" anchorx="page"/>
              </v:shape>
            </w:pict>
          </mc:Fallback>
        </mc:AlternateContent>
      </w:r>
    </w:p>
    <w:p>
      <w:pPr>
        <w:pStyle w:val="Style2"/>
        <w:keepNext w:val="0"/>
        <w:keepLines w:val="0"/>
        <w:widowControl w:val="0"/>
        <w:shd w:val="clear" w:color="auto" w:fill="auto"/>
        <w:bidi w:val="0"/>
        <w:spacing w:before="0" w:after="8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2"/>
        <w:keepNext/>
        <w:keepLines/>
        <w:widowControl w:val="0"/>
        <w:shd w:val="clear" w:color="auto" w:fill="auto"/>
        <w:tabs>
          <w:tab w:pos="1998" w:val="left"/>
        </w:tabs>
        <w:bidi w:val="0"/>
        <w:spacing w:before="0" w:line="240" w:lineRule="auto"/>
        <w:ind w:left="0" w:right="0"/>
        <w:jc w:val="both"/>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04.10.2024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40981/24</w:t>
      </w:r>
      <w:bookmarkEnd w:id="0"/>
    </w:p>
    <w:p>
      <w:pPr>
        <w:pStyle w:val="Style2"/>
        <w:keepNext w:val="0"/>
        <w:keepLines w:val="0"/>
        <w:widowControl w:val="0"/>
        <w:shd w:val="clear" w:color="auto" w:fill="auto"/>
        <w:bidi w:val="0"/>
        <w:spacing w:before="0" w:after="1480" w:line="240" w:lineRule="auto"/>
        <w:ind w:left="0" w:right="0" w:firstLine="0"/>
        <w:jc w:val="left"/>
      </w:pPr>
      <w:r>
        <w:rPr>
          <w:spacing w:val="0"/>
          <w:w w:val="100"/>
          <w:position w:val="0"/>
          <w:shd w:val="clear" w:color="auto" w:fill="auto"/>
          <w:lang w:val="ru-RU" w:eastAsia="ru-RU" w:bidi="ru-RU"/>
        </w:rPr>
        <w:t>На№</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№077/06/106-13500/2024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6393180</wp:posOffset>
                </wp:positionH>
                <wp:positionV relativeFrom="paragraph">
                  <wp:posOffset>38100</wp:posOffset>
                </wp:positionV>
                <wp:extent cx="798830" cy="201295"/>
                <wp:wrapSquare wrapText="left"/>
                <wp:docPr id="11" name="Shape 11"/>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7" type="#_x0000_t202" style="position:absolute;margin-left:503.40000000000003pt;margin-top:3.pt;width:62.899999999999999pt;height:15.85pt;z-index:-125829369;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01.10.2024</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М.О.Мацневой,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А.А. Леоновой,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5"/>
        <w:keepNext w:val="0"/>
        <w:keepLines w:val="0"/>
        <w:widowControl w:val="0"/>
        <w:shd w:val="clear" w:color="auto" w:fill="auto"/>
        <w:bidi w:val="0"/>
        <w:spacing w:before="0" w:after="80" w:line="240" w:lineRule="auto"/>
        <w:ind w:left="0" w:right="0" w:firstLine="700"/>
        <w:jc w:val="both"/>
      </w:pPr>
      <w:r>
        <w:rPr>
          <w:color w:val="000000"/>
          <w:spacing w:val="0"/>
          <w:w w:val="100"/>
          <w:position w:val="0"/>
          <w:shd w:val="clear" w:color="auto" w:fill="auto"/>
          <w:lang w:val="ru-RU" w:eastAsia="ru-RU" w:bidi="ru-RU"/>
        </w:rPr>
        <w:t>при участии представителя: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«РЕМСТРОЙ», о времени и порядке заседания Комиссии Управления уведомленных надлежащим образом посредством единой информационной системы,</w:t>
      </w:r>
    </w:p>
    <w:p>
      <w:pPr>
        <w:pStyle w:val="Style5"/>
        <w:keepNext w:val="0"/>
        <w:keepLines w:val="0"/>
        <w:widowControl w:val="0"/>
        <w:shd w:val="clear" w:color="auto" w:fill="auto"/>
        <w:bidi w:val="0"/>
        <w:spacing w:before="0" w:after="360" w:line="240" w:lineRule="auto"/>
        <w:ind w:left="0" w:right="0" w:firstLine="700"/>
        <w:jc w:val="both"/>
      </w:pPr>
      <w:r>
        <w:rPr>
          <w:color w:val="000000"/>
          <w:spacing w:val="0"/>
          <w:w w:val="100"/>
          <w:position w:val="0"/>
          <w:shd w:val="clear" w:color="auto" w:fill="auto"/>
          <w:lang w:val="ru-RU" w:eastAsia="ru-RU" w:bidi="ru-RU"/>
        </w:rPr>
        <w:t>рассмотрев жалобу ООО «РЕМСТРОЙ» (далее — Заявитель) на действия УСД в Московской области (далее — Заказчик) при проведении электронного аукциона на право заключения государственного контракта на оказание услуг по техническому обслуживанию средств защиты зданий районных (городских) судов Московской области и гарнизонных военных судов (Закупка №0348100021724000039) (далее — Аукцион), в соответствии с Федеральным</w:t>
      </w:r>
    </w:p>
    <w:p>
      <w:pPr>
        <w:pStyle w:val="Style15"/>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законом от 05.04.2013 № 44-ФЗ «О контрактной системе в сфере закупок товаров, работ, услуг для обеспечения государственных и муниципальных нужд» (в редакции от 02.07.2021 года) (далее — Закон о контрактной системе),</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поступили жалобы Заявителя на действия Заказчика при проведении электронного аукциона.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П.1-2 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5"/>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5"/>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5"/>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numPr>
          <w:ilvl w:val="0"/>
          <w:numId w:val="1"/>
        </w:numPr>
        <w:shd w:val="clear" w:color="auto" w:fill="auto"/>
        <w:tabs>
          <w:tab w:pos="1065" w:val="left"/>
        </w:tabs>
        <w:bidi w:val="0"/>
        <w:spacing w:before="0" w:after="280" w:line="271" w:lineRule="auto"/>
        <w:ind w:left="0" w:right="0" w:firstLine="700"/>
        <w:jc w:val="both"/>
        <w:rPr>
          <w:sz w:val="22"/>
          <w:szCs w:val="22"/>
        </w:rPr>
        <w:sectPr>
          <w:footnotePr>
            <w:pos w:val="pageBottom"/>
            <w:numFmt w:val="decimal"/>
            <w:numRestart w:val="continuous"/>
          </w:footnotePr>
          <w:type w:val="continuous"/>
          <w:pgSz w:w="11900" w:h="16840"/>
          <w:pgMar w:top="1081" w:right="533" w:bottom="768" w:left="1105"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w:t>
      </w:r>
      <w:r>
        <w:rPr>
          <w:rFonts w:ascii="Cambria" w:eastAsia="Cambria" w:hAnsi="Cambria" w:cs="Cambria"/>
          <w:color w:val="000000"/>
          <w:spacing w:val="0"/>
          <w:w w:val="100"/>
          <w:position w:val="0"/>
          <w:sz w:val="22"/>
          <w:szCs w:val="22"/>
          <w:shd w:val="clear" w:color="auto" w:fill="auto"/>
          <w:lang w:val="ru-RU" w:eastAsia="ru-RU" w:bidi="ru-RU"/>
        </w:rPr>
        <w:t>2024-46659</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при описании объекта закупочной процедуры установлены требования к оказанию услуг по техническому обслуживанию средств защиты зданий районных (городских) судов Московской области и гарнизонных военных судов.</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в составе описания объекта закупки также установлены требования к поставляемому товару «Металлодетектор арочный» в рамках оказания услуг.</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что в описании объекта закупки и проекте контракта отсутствует указания на порядок и сроки оплаты поставляемого товара.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п.6,8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количестве (за исключением случая, предусмотренного ч.24 ст.22 Закона о контрактной системе),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 сроках исполнения контракта (отдельных этапов исполнения контракта, если проектом контракта предусмотрены такие этапы).</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основании п.1 ч.13 ст.34 Закона о контрактной системе в контракт включаются обязательные условия о порядке и сроках оплаты товара, работы или услуги, в том числе с учетом положений ч.13 ст.37 Закона о контрактной системе, о </w:t>
      </w:r>
      <w:r>
        <w:rPr>
          <w:color w:val="000000"/>
          <w:spacing w:val="0"/>
          <w:w w:val="100"/>
          <w:position w:val="0"/>
          <w:shd w:val="clear" w:color="auto" w:fill="auto"/>
          <w:lang w:val="ru-RU" w:eastAsia="ru-RU" w:bidi="ru-RU"/>
        </w:rPr>
        <w:t>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ст.96 Закона о контрактной системе требования обеспечения гарантийных обязательств. В случае, предусмотренном ч.24 ст.22 Закона о контрактной системе,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п.</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7.6 Технического задания определено: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7.6 «Исполнитель в рамках исполнения контракта производит поставку товаров, количество и требования, к которым установлены в структурированной форме извещения и заполняются на электронной площадке. Указанные товары являются поставляемыми товарами, переходят на баланс Заказчика путём составления товарной накладной по форме ТОРГ-12, получают складской инвентарный номер в журнале учёта материальных ценностей, по ним участник представляет информацию в заявке в соответствии с инструкцией по заполнению. Приёмка товара проводится Заказчиком до начала оказания услуг. После заключения контракта Исполнитель должен произвести поставку Товаров в течение 5 рабочих дней. Дальнейшая поставка Товара производится по мере необходимости и дополнительно согласовывается Заказчиком».</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Кроме того в составе п. 2.6 проекта контракта Заказчиком установлено, что Заказчик </w:t>
      </w:r>
      <w:r>
        <w:rPr>
          <w:b/>
          <w:bCs/>
          <w:color w:val="000000"/>
          <w:spacing w:val="0"/>
          <w:w w:val="100"/>
          <w:position w:val="0"/>
          <w:shd w:val="clear" w:color="auto" w:fill="auto"/>
          <w:lang w:val="ru-RU" w:eastAsia="ru-RU" w:bidi="ru-RU"/>
        </w:rPr>
        <w:t xml:space="preserve">оплачивает услуги, фактически оказанные в отчетном периоде </w:t>
      </w:r>
      <w:r>
        <w:rPr>
          <w:color w:val="000000"/>
          <w:spacing w:val="0"/>
          <w:w w:val="100"/>
          <w:position w:val="0"/>
          <w:shd w:val="clear" w:color="auto" w:fill="auto"/>
          <w:lang w:val="ru-RU" w:eastAsia="ru-RU" w:bidi="ru-RU"/>
        </w:rPr>
        <w:t>(месяц) Исполнителем в соответствии с условиями Контракта, на основании надлежаще оформленного и подписанного обеими Сторонами усиленными квалифицированными электронными подписями (далее - УКЭП) сформированного с использованием Единой информационной системы в сфере закупок товаров, работ, услуг для обеспечения государственных и муниципальных нужд (далее - ЕИС) Документа о приемке (Акта сдачи-приемки оказанных услуг) в электронной форме в течение 7 (семи) дней с даты подписания Заказчиком Документа о приемке.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по мнению представителя Заказчика положения извещения содержат указания на порядок и сроки оплаты поставляемого товара.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Комиссия Управления не может согласиться с пояснениями </w:t>
      </w:r>
      <w:r>
        <w:rPr>
          <w:color w:val="000000"/>
          <w:spacing w:val="0"/>
          <w:w w:val="100"/>
          <w:position w:val="0"/>
          <w:shd w:val="clear" w:color="auto" w:fill="auto"/>
          <w:lang w:val="ru-RU" w:eastAsia="ru-RU" w:bidi="ru-RU"/>
        </w:rPr>
        <w:t>представителя Заказчика, так как описание объекта закупки указывает на фактическую потребность в поставке товара при оказании услуг у Заказчика.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согласно ч.1 ст.94 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о контрактной системе, в том числе:</w:t>
      </w:r>
    </w:p>
    <w:p>
      <w:pPr>
        <w:pStyle w:val="Style5"/>
        <w:keepNext w:val="0"/>
        <w:keepLines w:val="0"/>
        <w:widowControl w:val="0"/>
        <w:numPr>
          <w:ilvl w:val="0"/>
          <w:numId w:val="5"/>
        </w:numPr>
        <w:shd w:val="clear" w:color="auto" w:fill="auto"/>
        <w:tabs>
          <w:tab w:pos="10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отдельных этапов исполнения контракта;</w:t>
      </w:r>
    </w:p>
    <w:p>
      <w:pPr>
        <w:pStyle w:val="Style5"/>
        <w:keepNext w:val="0"/>
        <w:keepLines w:val="0"/>
        <w:widowControl w:val="0"/>
        <w:numPr>
          <w:ilvl w:val="0"/>
          <w:numId w:val="5"/>
        </w:numPr>
        <w:shd w:val="clear" w:color="auto" w:fill="auto"/>
        <w:tabs>
          <w:tab w:pos="10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5"/>
        <w:keepNext w:val="0"/>
        <w:keepLines w:val="0"/>
        <w:widowControl w:val="0"/>
        <w:numPr>
          <w:ilvl w:val="0"/>
          <w:numId w:val="5"/>
        </w:numPr>
        <w:shd w:val="clear" w:color="auto" w:fill="auto"/>
        <w:tabs>
          <w:tab w:pos="10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взаимодействие заказчика с поставщиком (подрядчиком, исполнителем) при исполнении, изменении, расторжении контракта в соответствии со ст.95 Закона о контрактной системе,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положения 7.6 Технического задания и 2.6 проекта контракта не содержат конкретного указания на порядок и сроки оплаты поставляемого товара, его приемки в рамках оказания услуг.</w:t>
      </w:r>
    </w:p>
    <w:p>
      <w:pPr>
        <w:pStyle w:val="Style5"/>
        <w:keepNext w:val="0"/>
        <w:keepLines w:val="0"/>
        <w:widowControl w:val="0"/>
        <w:shd w:val="clear" w:color="auto" w:fill="auto"/>
        <w:tabs>
          <w:tab w:pos="10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положений п.1 ч.1 ст.33, п.1 ч.2 ст.42, п. 1 ч. 13 ст. 34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5"/>
        <w:keepNext w:val="0"/>
        <w:keepLines w:val="0"/>
        <w:widowControl w:val="0"/>
        <w:numPr>
          <w:ilvl w:val="0"/>
          <w:numId w:val="7"/>
        </w:numPr>
        <w:shd w:val="clear" w:color="auto" w:fill="auto"/>
        <w:tabs>
          <w:tab w:pos="10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жалобы в рамках данной закупочной процедуры неправомерно не установлены условия допуска товаров, установленных в соответствии с приказом Министерства Финансов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5"/>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5"/>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 xml:space="preserve">В силу ч.4 ст.14 Закона о контрактной системе Федеральный орган </w:t>
      </w:r>
      <w:r>
        <w:rPr>
          <w:color w:val="000000"/>
          <w:spacing w:val="0"/>
          <w:w w:val="100"/>
          <w:position w:val="0"/>
          <w:shd w:val="clear" w:color="auto" w:fill="auto"/>
          <w:lang w:val="ru-RU" w:eastAsia="ru-RU" w:bidi="ru-RU"/>
        </w:rPr>
        <w:t>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ст.14 Закона о контрактной системе.</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В соответствии с п.1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 1, приложении № 2 к Приказу 126н.</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П.1.3 Приказа №126н установлено, что при проведении аукциона контракт заключается по цене:</w:t>
      </w:r>
    </w:p>
    <w:p>
      <w:pPr>
        <w:pStyle w:val="Style5"/>
        <w:keepNext w:val="0"/>
        <w:keepLines w:val="0"/>
        <w:widowControl w:val="0"/>
        <w:numPr>
          <w:ilvl w:val="0"/>
          <w:numId w:val="9"/>
        </w:numPr>
        <w:shd w:val="clear" w:color="auto" w:fill="auto"/>
        <w:tabs>
          <w:tab w:pos="1147" w:val="left"/>
        </w:tabs>
        <w:bidi w:val="0"/>
        <w:spacing w:before="0" w:after="0" w:line="257" w:lineRule="auto"/>
        <w:ind w:left="0" w:right="0" w:firstLine="700"/>
        <w:jc w:val="both"/>
      </w:pPr>
      <w:r>
        <w:rPr>
          <w:color w:val="000000"/>
          <w:spacing w:val="0"/>
          <w:w w:val="100"/>
          <w:position w:val="0"/>
          <w:shd w:val="clear" w:color="auto" w:fill="auto"/>
          <w:lang w:val="ru-RU" w:eastAsia="ru-RU" w:bidi="ru-RU"/>
        </w:rPr>
        <w:t>сниженной на 15 процентов в отношении товаров, указанных в приложении № 1, сниженной на 20 процентов в отношении товаров, указанных в приложении №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5"/>
        <w:keepNext w:val="0"/>
        <w:keepLines w:val="0"/>
        <w:widowControl w:val="0"/>
        <w:numPr>
          <w:ilvl w:val="0"/>
          <w:numId w:val="9"/>
        </w:numPr>
        <w:shd w:val="clear" w:color="auto" w:fill="auto"/>
        <w:tabs>
          <w:tab w:pos="1147"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Комиссия Управления отмечает, что согласно описанию объекта закупки для поставляемого товара «Металлодетектор арочный» в рамках оказания услуг Заказчиком установлен ОКПД2 26.30.50.142 «Средства обнаружения активные» со следующими характеристиками:</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Количество независимых зон обнаружения: &gt; 6 Штука. Участник закупки указывает в заявке конкретное значение характеристики.</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Селективность: магнитные и немагнитные металлы. Участник закупки указывает в заявке конкретное значение характеристики.</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Количество металлодетекторов при параллельном использовании (количество рабочих частот): &gt; 50 Штука. Участник закупки указывает в заявке конкретное значение характеристики.</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Ширина зоны прохода: &gt; 750 Миллиметр. Участник закупки указывает в заявке конкретное значение характеристики.</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Степень локализации объекта: точная. Значение характеристики не может изменяться участником закупки.</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w:t>
      </w:r>
      <w:r>
        <w:rPr>
          <w:color w:val="000000"/>
          <w:spacing w:val="0"/>
          <w:w w:val="100"/>
          <w:position w:val="0"/>
          <w:shd w:val="clear" w:color="auto" w:fill="auto"/>
          <w:lang w:val="ru-RU" w:eastAsia="ru-RU" w:bidi="ru-RU"/>
        </w:rPr>
        <w:t>согласно письму Минфина России от 10.06.2024 № 24-06-06/53522, положения Приказа № 126н применяются исключительно при закупках товаров (если предметом контракта является поставка товара) и не применяются, если предметом контракта является выполнение работ, оказание услуг, при осуществлении которых поставляется товар. Позиция представителей ведомства основана на том, что положения Приказа № 126н не содержат требования о его применении при закупках работ, услуг, при выполнении, оказании которых поставляется товар, указанный в приложениях к вышеназванному приказу.</w:t>
      </w:r>
    </w:p>
    <w:p>
      <w:pPr>
        <w:pStyle w:val="Style5"/>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При этом Комиссия Управления не может согласиться с пояснениями представителя Заказчика, так как приложение к Приказу № 126н содержит указание код ОКПД2 26.30, к которому относится закупаемый и подлежащий поставке товар «Металлодетектор арочный».</w:t>
      </w:r>
    </w:p>
    <w:p>
      <w:pPr>
        <w:pStyle w:val="Style5"/>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Вместе с этим Комиссия Управления отмечает, что положения ст.33 Закона о контрактной системе позволяют описывать Заказчику как требования к поставляемым товарам, так и требования к используемым при оказании услуг товарам, однако в п.1 ч.2 ст.43 Закона о контрактной системе однозначно определено, что информация о товаре, предусмотренная пп.«а» и «б» п.2 ч.1 ст.43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pPr>
        <w:pStyle w:val="Style5"/>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При этом в рамках контракта, заключаемого по результатам данной закупочной процедуры, осуществляется поставка товара, в связи с чем Заказчику надлежит установить условия допуска товаров, установленных в соответствии с Приказом № 126н.</w:t>
      </w:r>
    </w:p>
    <w:p>
      <w:pPr>
        <w:pStyle w:val="Style5"/>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Комиссия Управления отмечает, что согласно протоколу подведения итогов определения поставщика (подрядчика, исполнителя) от 26.09.2024 №ИЭА2 на участие в закупке подано четыре заявки участников, соответствующие требованиям извещения аукциона.</w:t>
      </w:r>
    </w:p>
    <w:p>
      <w:pPr>
        <w:pStyle w:val="Style5"/>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При этом Комиссией Управления установлено, что в составе заявок всех участников аукциона продекларирована страна происхождения товара — РФ, что свидетельствует о том, что неустановление в составе извещения условий допуска товаров, установленных в соответствии с Приказом № 126н, не повлекло за собой негативных последствий для участников закупки.</w:t>
      </w:r>
    </w:p>
    <w:p>
      <w:pPr>
        <w:pStyle w:val="Style5"/>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Заказчика ч.4 ст.14, п.15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5"/>
        <w:keepNext w:val="0"/>
        <w:keepLines w:val="0"/>
        <w:widowControl w:val="0"/>
        <w:numPr>
          <w:ilvl w:val="0"/>
          <w:numId w:val="7"/>
        </w:numPr>
        <w:shd w:val="clear" w:color="auto" w:fill="auto"/>
        <w:tabs>
          <w:tab w:pos="11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в составе извещения установлены неправомерные требования о предоставлении в составе заявок характеристик товаров, соответствующих требованиям заказчика, информации о стране происхождения товаров и товарном знаке, так как в рамках аукциона не предусмотрена поставка товара.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составе файла «Требования к содержанию, составу заявки ред.2», размещенного в составе извещения данной закупочной процедуре Заказчиком установлены, в том числе следующие требования к составу заявок участников аукциона:</w:t>
      </w:r>
    </w:p>
    <w:p>
      <w:pPr>
        <w:pStyle w:val="Style5"/>
        <w:keepNext w:val="0"/>
        <w:keepLines w:val="0"/>
        <w:widowControl w:val="0"/>
        <w:numPr>
          <w:ilvl w:val="0"/>
          <w:numId w:val="11"/>
        </w:numPr>
        <w:shd w:val="clear" w:color="auto" w:fill="auto"/>
        <w:tabs>
          <w:tab w:pos="10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pPr>
        <w:pStyle w:val="Style5"/>
        <w:keepNext w:val="0"/>
        <w:keepLines w:val="0"/>
        <w:widowControl w:val="0"/>
        <w:numPr>
          <w:ilvl w:val="0"/>
          <w:numId w:val="11"/>
        </w:numPr>
        <w:shd w:val="clear" w:color="auto" w:fill="auto"/>
        <w:tabs>
          <w:tab w:pos="103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Федерального закона от 05.04.2013 № 44-ФЗ.</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П.7.6. Технического задания прямо предусмотрена поставка товара. Также поставка товара указана в расчёте НМЦК.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Комиссия Управления отмечает, что 12.09.2024 по делу №077/06/106- 12478/2024 Комиссией Управления рассматривалась жалоба ООО «РЕМСТРОЙ» (Вх. № 60841-ЭП/24 от 25.09.2024) на действия УСД в Московской области в рамках данной закупочной процедуры.</w:t>
      </w:r>
    </w:p>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этом в составе вышеуказанной жалобы Заявитель оспаривал положения извещения в части неправомерного наличия в составе извещения товара «Металлодетекторы арочные» и установление требований к нему, так как описание объекта закупки указывает на техническое обслуживание средств защиты зданий, а не на поставку металлодетекторов.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18.09.2024 Заказчиком в единой информационной системе размещены изменения извещения о проведении электронного аукциона № №ИИ1, согласно которым товар «Металлодетекторы арочные» описан в составе извещения как поставляемый в рамках оказания услуг, с указанием требуемых характеристик, следовательно в рамках контракта, заключаемого по результатам данной закупочной процедуры, осуществляется поставка товара, при этом извещением установлены требования о предоставлении сведений о характеристиках, товарном знаке (при наличии у товара товарного знака), наименовании страны происхождения товара в структурированной форме извещения, ввиду чего оспариваемые требования к составу заявки на участие в закупки установлены Заказчиком правомерно.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5"/>
        <w:keepNext w:val="0"/>
        <w:keepLines w:val="0"/>
        <w:widowControl w:val="0"/>
        <w:numPr>
          <w:ilvl w:val="0"/>
          <w:numId w:val="7"/>
        </w:numPr>
        <w:shd w:val="clear" w:color="auto" w:fill="auto"/>
        <w:tabs>
          <w:tab w:pos="104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начальная (максимальная) цена контракта (далее - НМЦК) не содержит указание на поставляемый товар «Металлодетектор арочный».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актуальную редакцию извещения на основании ранее поданной жалобы Заявителя были внесены изменения. На основании чего в п.6.6. Технического задания были добавлены металлодетекторы арочные.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Комиссия Управления отмечает, что поставляемый товар в рамках оказания услуг указан в составе Приложения № 4 Расчет НМЦК ред. 2, размещенного в составе извещения.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Вместе с тем Комиссия Управления отмечает, что основной задачей </w:t>
      </w:r>
      <w:r>
        <w:rPr>
          <w:color w:val="000000"/>
          <w:spacing w:val="0"/>
          <w:w w:val="100"/>
          <w:position w:val="0"/>
          <w:shd w:val="clear" w:color="auto" w:fill="auto"/>
          <w:lang w:val="ru-RU" w:eastAsia="ru-RU" w:bidi="ru-RU"/>
        </w:rPr>
        <w:t>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в силу ч.4 ст.106 Закона о контрактной системе право представления информации и документов, подтверждающих обоснованность доводов жалобы, однако, в составе жалобы Заявителем не представлено документов свидетельствующих о невозможности подачи заявки на участие в закупочной процедуре, об ограничении количества участников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согласно протоколу подведения итогов определения поставщика (подрядчика, исполнителя) от 26.09.2024 №ИЭА2 на участие в закупочной процедуре подано 4 заявки, признанные соответствующими требованиям извещения, что также указывает на отсутствие ограничения количества участников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что довод жалобы Заявителя не нашел своего подтверждения и является необоснованным.</w:t>
      </w:r>
    </w:p>
    <w:p>
      <w:pPr>
        <w:pStyle w:val="Style5"/>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жалобы товары «Металлодетекторы арочные» технологично и функционально не связаны с составляющими предмет данной закупки услугами по обслуживанию группы оборудования.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техническое обслуживание металлодетекторов входит в обязанности Исполнителя по контракту. Металлодетекторы являются неотъемлемой частью средств защиты судов и обеспечивают предотвращение несанкционированного доступа на объект.</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Техническим задание прямо указан состав систем контроля и управления доступом, к которым относятся в частности и металлодетекторы (6.6. Система контроля и управления доступом должна обеспечивать предотвращение несанкционированного доступа людей и транспорта).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Комиссия Управления также отмечает, что согласно файлу «Прилож. № 3 Регламент работ по ТО ред. 2», размещенного в составе извещения, Заказчиком установлен регламент технического обслуживания пожарной сигнализации, оповещения о пожаре, автоматического дымоудаления, который включает в себя, в том числе следующие работы:</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Проверка работоспособности металлодетекторов во всех режимах: ежемесячно;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Проверка актуальности ПО металлодетекторов, обновление до актуальных версий: ежеквартально;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Проверка блока питания на превышение уровня пульсации напряжения, соответствие номиналу тока, оценка уровня сигналов приемо-передающих контуров металлодетекторов: ежегодно.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металлодетекторы являются неотъемлемой потребностью Заказчика.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Доказательств обратного Заявителем в составе жалобы не представлено.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а также с учетом пояснений представителей Заказчика, Комиссия Управления приходит к выводу, что довод жалобы Заявителя не нашел своего подтверждения и является необоснованными.</w:t>
      </w:r>
    </w:p>
    <w:p>
      <w:pPr>
        <w:pStyle w:val="Style5"/>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жалобы в составе извещения установлены необоснованные требования о наличии у исполнителя трудовых и иных ресурсов, что влечет за собой ограничение числа участников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Заявитель в составе жалобы указывает, в том числе на следующие неправомерные положения описания объекта закупки:</w:t>
      </w:r>
    </w:p>
    <w:p>
      <w:pPr>
        <w:pStyle w:val="Style5"/>
        <w:keepNext w:val="0"/>
        <w:keepLines w:val="0"/>
        <w:widowControl w:val="0"/>
        <w:numPr>
          <w:ilvl w:val="1"/>
          <w:numId w:val="13"/>
        </w:numPr>
        <w:shd w:val="clear" w:color="auto" w:fill="auto"/>
        <w:tabs>
          <w:tab w:pos="14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Исполнитель в обязательном порядке проходит процедуру допуска к оказанию услуг по Контракту для определения соответствия условиям Контракта.</w:t>
      </w:r>
    </w:p>
    <w:p>
      <w:pPr>
        <w:pStyle w:val="Style5"/>
        <w:keepNext w:val="0"/>
        <w:keepLines w:val="0"/>
        <w:widowControl w:val="0"/>
        <w:numPr>
          <w:ilvl w:val="1"/>
          <w:numId w:val="13"/>
        </w:numPr>
        <w:shd w:val="clear" w:color="auto" w:fill="auto"/>
        <w:tabs>
          <w:tab w:pos="14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Процедура допуска проходит после заключения Контракта, но до начала исполнения оказания услуг по Контракту.</w:t>
      </w:r>
    </w:p>
    <w:p>
      <w:pPr>
        <w:pStyle w:val="Style5"/>
        <w:keepNext w:val="0"/>
        <w:keepLines w:val="0"/>
        <w:widowControl w:val="0"/>
        <w:numPr>
          <w:ilvl w:val="1"/>
          <w:numId w:val="13"/>
        </w:numPr>
        <w:shd w:val="clear" w:color="auto" w:fill="auto"/>
        <w:tabs>
          <w:tab w:pos="21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ходе процедуры допуска Исполнитель предоставляет Заказчику:</w:t>
      </w:r>
    </w:p>
    <w:p>
      <w:pPr>
        <w:pStyle w:val="Style5"/>
        <w:keepNext w:val="0"/>
        <w:keepLines w:val="0"/>
        <w:widowControl w:val="0"/>
        <w:numPr>
          <w:ilvl w:val="0"/>
          <w:numId w:val="15"/>
        </w:numPr>
        <w:shd w:val="clear" w:color="auto" w:fill="auto"/>
        <w:tabs>
          <w:tab w:pos="14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(заверенные копии документов), подтверждающих наличие в штате, либо привлеченных на основании договоров гражданско-правового характера специалистов, прошедших обучение по эксплуатации системы видеонаблюдения, автоматической пожарной сигнализации, автоматического пожаротушения, оповещения и управления эвакуацией, контроля и управления доступа, средств автоматической охранно-тревожной сигнализации, кнопок тревожной сигнализации (штатное расписание и/или договоры гражданско-правового характера, дипломы (свидетельства) специалистов и иные документы по усмотрению Исполнителя).</w:t>
      </w:r>
    </w:p>
    <w:p>
      <w:pPr>
        <w:pStyle w:val="Style5"/>
        <w:keepNext w:val="0"/>
        <w:keepLines w:val="0"/>
        <w:widowControl w:val="0"/>
        <w:numPr>
          <w:ilvl w:val="0"/>
          <w:numId w:val="15"/>
        </w:numPr>
        <w:shd w:val="clear" w:color="auto" w:fill="auto"/>
        <w:tabs>
          <w:tab w:pos="14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Копии сертификатов соответствия (деклараций о соответствии) на оборудование и материалы, товарных накладных или иных документов, подтверждающих наличие у Исполнителя оборудования и материалов для оказания услуг с указанием их наименований, моделей, товарных знаков (торговых марок), технических и функциональных характеристик (потребительских свойств).</w:t>
      </w:r>
    </w:p>
    <w:p>
      <w:pPr>
        <w:pStyle w:val="Style5"/>
        <w:keepNext w:val="0"/>
        <w:keepLines w:val="0"/>
        <w:widowControl w:val="0"/>
        <w:numPr>
          <w:ilvl w:val="0"/>
          <w:numId w:val="15"/>
        </w:numPr>
        <w:shd w:val="clear" w:color="auto" w:fill="auto"/>
        <w:tabs>
          <w:tab w:pos="14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Оборудование и материалы для оказания услуг с проверкой их соответствия заявленным техническим и функциональным характеристикам (потребительским свойствам).</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с момента начала оказания услуг, Исполнитель должен провести ряд мероприятий на объектах, направленных на поддержание необходимого уровня безопасности. Указанные мероприятия подробно изложены в п.4 технического задания. Проведение таких мероприятий без прохождения процедуры допуска невозможно, так как в противном случае доступ в суды и к техническим средства охраны судов (в том числе в военные гарнизонные суды) будет предоставляться неограниченному кругу лиц, что является абсолютно недопустимым.</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Для исполнителей, чьей целью является добросовестное оказание услуг, предоставление подобного перечня документов является нормальной практикой и не препятствует оказанию услуг.</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Комиссия Управления отмечает, что основной задачей </w:t>
      </w:r>
      <w:r>
        <w:rPr>
          <w:color w:val="000000"/>
          <w:spacing w:val="0"/>
          <w:w w:val="100"/>
          <w:position w:val="0"/>
          <w:shd w:val="clear" w:color="auto" w:fill="auto"/>
          <w:lang w:val="ru-RU" w:eastAsia="ru-RU" w:bidi="ru-RU"/>
        </w:rPr>
        <w:t>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в силу ч.4 ст.106 Закона о контрактной системе право представления информации и документов, подтверждающих обоснованность доводов жалобы, однако, в составе жалобы Заявителем не представлено документов свидетельствующих о невозможности подачи заявки на участие в закупочной процедуре, об ограничении количества участников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согласно протоколу подведения итогов определения поставщика (подрядчика, исполнителя) от 26.09.2024 №ИЭА2 на участие в закупочной процедуре подано 4 заявки, признанные соответствующими требованиям извещения, что также указывает на отсутствие ограничения количества участников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а также с учетом пояснений представителей Заказчика, Комиссия Управления приходит к выводу, что довод жалобы Заявителя не нашел своего подтверждения и является необоснованным.</w:t>
      </w:r>
    </w:p>
    <w:p>
      <w:pPr>
        <w:pStyle w:val="Style5"/>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footnotePr>
            <w:pos w:val="pageBottom"/>
            <w:numFmt w:val="decimal"/>
            <w:numRestart w:val="continuous"/>
          </w:footnotePr>
          <w:pgSz w:w="11900" w:h="16840"/>
          <w:pgMar w:top="1162" w:right="538" w:bottom="1114" w:left="110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жалобу ООО «РЕМСТРОЙ» на действия УСД в Московской области обоснованной в части не установления порядка и сроков приемки, оплаты поставляемого товара, условий допуска товаров, происходящих из иностранных государств.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нарушение п.1 ч.1 ст.33, п.1 ч.2 ст.42, п.1 ч.13 ст.34 ,ч.4 ст.14, п.15 ч.1 ст.42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об осуществлении закупок.</w:t>
      </w:r>
    </w:p>
    <w:p>
      <w:pPr>
        <w:pStyle w:val="Style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41" w:bottom="2579" w:left="1106" w:header="0" w:footer="3" w:gutter="0"/>
          <w:cols w:space="720"/>
          <w:noEndnote/>
          <w:rtlGutter w:val="0"/>
          <w:docGrid w:linePitch="360"/>
        </w:sectPr>
      </w:pPr>
      <w:r>
        <mc:AlternateContent>
          <mc:Choice Requires="wps">
            <w:drawing>
              <wp:anchor distT="330200" distB="356235" distL="0" distR="0" simplePos="0" relativeHeight="125829386" behindDoc="0" locked="0" layoutInCell="1" allowOverlap="1">
                <wp:simplePos x="0" y="0"/>
                <wp:positionH relativeFrom="page">
                  <wp:posOffset>735965</wp:posOffset>
                </wp:positionH>
                <wp:positionV relativeFrom="paragraph">
                  <wp:posOffset>330200</wp:posOffset>
                </wp:positionV>
                <wp:extent cx="1850390" cy="250190"/>
                <wp:wrapTopAndBottom/>
                <wp:docPr id="17" name="Shape 17"/>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950000000000003pt;margin-top:26.pt;width:145.70000000000002pt;height:19.699999999999999pt;z-index:-125829367;mso-wrap-distance-left:0;mso-wrap-distance-top:26.pt;mso-wrap-distance-right:0;mso-wrap-distance-bottom:28.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8" behindDoc="0" locked="0" layoutInCell="1" allowOverlap="1">
            <wp:simplePos x="0" y="0"/>
            <wp:positionH relativeFrom="page">
              <wp:posOffset>3147060</wp:posOffset>
            </wp:positionH>
            <wp:positionV relativeFrom="paragraph">
              <wp:posOffset>403225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3604260</wp:posOffset>
                </wp:positionH>
                <wp:positionV relativeFrom="paragraph">
                  <wp:posOffset>802640</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83.80000000000001pt;margin-top:63.200000000000003pt;width:100.8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3561715</wp:posOffset>
                </wp:positionH>
                <wp:positionV relativeFrom="paragraph">
                  <wp:posOffset>491490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0.44999999999999pt;margin-top:38.7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9" behindDoc="0" locked="0" layoutInCell="1" allowOverlap="1">
                <wp:simplePos x="0" y="0"/>
                <wp:positionH relativeFrom="page">
                  <wp:posOffset>6170295</wp:posOffset>
                </wp:positionH>
                <wp:positionV relativeFrom="paragraph">
                  <wp:posOffset>330200</wp:posOffset>
                </wp:positionV>
                <wp:extent cx="1029970" cy="250190"/>
                <wp:wrapTopAndBottom/>
                <wp:docPr id="25" name="Shape 25"/>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1" type="#_x0000_t202" style="position:absolute;margin-left:485.85000000000002pt;margin-top:26.pt;width:81.100000000000009pt;height:19.699999999999999pt;z-index:-125829364;mso-wrap-distance-left:0;mso-wrap-distance-top:26.pt;mso-wrap-distance-right:0;mso-wrap-distance-bottom:28.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color w:val="8A8A8A"/>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КАЗАРИН СЕРГЕЙ ИГОРЕВИЧ</w:t>
      </w:r>
    </w:p>
    <w:p>
      <w:pPr>
        <w:pStyle w:val="Style23"/>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000590946031СЕ073ВЕ5С5О6ЕЕ7501</w:t>
      </w:r>
      <w:r>
        <w:rPr>
          <w:spacing w:val="0"/>
          <w:w w:val="100"/>
          <w:position w:val="0"/>
          <w:shd w:val="clear" w:color="auto" w:fill="auto"/>
          <w:lang w:val="ru-RU" w:eastAsia="ru-RU" w:bidi="ru-RU"/>
        </w:rPr>
        <w:t>0760</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widowControl w:val="0"/>
        <w:spacing w:line="1" w:lineRule="exact"/>
        <w:sectPr>
          <w:footnotePr>
            <w:pos w:val="pageBottom"/>
            <w:numFmt w:val="decimal"/>
            <w:numRestart w:val="continuous"/>
          </w:footnotePr>
          <w:type w:val="continuous"/>
          <w:pgSz w:w="11900" w:h="16840"/>
          <w:pgMar w:top="1158" w:right="541" w:bottom="2579" w:left="1106" w:header="0" w:footer="3" w:gutter="0"/>
          <w:cols w:space="720"/>
          <w:noEndnote/>
          <w:rtlGutter w:val="0"/>
          <w:docGrid w:linePitch="360"/>
        </w:sectPr>
      </w:pPr>
      <w:r>
        <mc:AlternateContent>
          <mc:Choice Requires="wps">
            <w:drawing>
              <wp:anchor distT="152400" distB="201295" distL="0" distR="0" simplePos="0" relativeHeight="125829391" behindDoc="0" locked="0" layoutInCell="1" allowOverlap="1">
                <wp:simplePos x="0" y="0"/>
                <wp:positionH relativeFrom="page">
                  <wp:posOffset>735965</wp:posOffset>
                </wp:positionH>
                <wp:positionV relativeFrom="paragraph">
                  <wp:posOffset>152400</wp:posOffset>
                </wp:positionV>
                <wp:extent cx="1341120" cy="252730"/>
                <wp:wrapTopAndBottom/>
                <wp:docPr id="27" name="Shape 27"/>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3" type="#_x0000_t202" style="position:absolute;margin-left:57.950000000000003pt;margin-top:12.pt;width:105.60000000000001pt;height:19.900000000000002pt;z-index:-125829362;mso-wrap-distance-left:0;mso-wrap-distance-top:12.pt;mso-wrap-distance-right:0;mso-wrap-distance-bottom:15.8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43840" distB="0" distL="0" distR="1804670" simplePos="0" relativeHeight="125829393" behindDoc="0" locked="0" layoutInCell="1" allowOverlap="1">
            <wp:simplePos x="0" y="0"/>
            <wp:positionH relativeFrom="page">
              <wp:posOffset>3168015</wp:posOffset>
            </wp:positionH>
            <wp:positionV relativeFrom="paragraph">
              <wp:posOffset>243840</wp:posOffset>
            </wp:positionV>
            <wp:extent cx="311150" cy="36576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3561080</wp:posOffset>
                </wp:positionH>
                <wp:positionV relativeFrom="paragraph">
                  <wp:posOffset>316865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0.40000000000003pt;margin-top:24.949999999999999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201295" distL="0" distR="0" simplePos="0" relativeHeight="125829394" behindDoc="0" locked="0" layoutInCell="1" allowOverlap="1">
                <wp:simplePos x="0" y="0"/>
                <wp:positionH relativeFrom="page">
                  <wp:posOffset>6091555</wp:posOffset>
                </wp:positionH>
                <wp:positionV relativeFrom="paragraph">
                  <wp:posOffset>152400</wp:posOffset>
                </wp:positionV>
                <wp:extent cx="1124585" cy="252730"/>
                <wp:wrapTopAndBottom/>
                <wp:docPr id="33" name="Shape 33"/>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wps:txbx>
                      <wps:bodyPr wrap="none" lIns="0" tIns="0" rIns="0" bIns="0">
                        <a:noAutoFit/>
                      </wps:bodyPr>
                    </wps:wsp>
                  </a:graphicData>
                </a:graphic>
              </wp:anchor>
            </w:drawing>
          </mc:Choice>
          <mc:Fallback>
            <w:pict>
              <v:shape id="_x0000_s1059" type="#_x0000_t202" style="position:absolute;margin-left:479.65000000000003pt;margin-top:12.pt;width:88.549999999999997pt;height:19.900000000000002pt;z-index:-125829359;mso-wrap-distance-left:0;mso-wrap-distance-top:12.pt;mso-wrap-distance-right:0;mso-wrap-distance-bottom:15.8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00803Е817690Е8688001Е612СЗС6Б74577</w:t>
      </w:r>
    </w:p>
    <w:p>
      <w:pPr>
        <w:pStyle w:val="Style23"/>
        <w:keepNext w:val="0"/>
        <w:keepLines w:val="0"/>
        <w:widowControl w:val="0"/>
        <w:shd w:val="clear" w:color="auto" w:fill="auto"/>
        <w:bidi w:val="0"/>
        <w:spacing w:before="0" w:after="18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20.05.2024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13.08.2025</w:t>
      </w:r>
    </w:p>
    <w:p>
      <w:pPr>
        <w:pStyle w:val="Style5"/>
        <w:keepNext w:val="0"/>
        <w:keepLines w:val="0"/>
        <w:widowControl w:val="0"/>
        <w:shd w:val="clear" w:color="auto" w:fill="auto"/>
        <w:bidi w:val="0"/>
        <w:spacing w:before="0" w:after="620" w:line="240" w:lineRule="auto"/>
        <w:ind w:left="1180" w:right="0" w:firstLine="0"/>
        <w:jc w:val="left"/>
      </w:pPr>
      <w:r>
        <w:drawing>
          <wp:anchor distT="0" distB="0" distL="114300" distR="1900555" simplePos="0" relativeHeight="125829396" behindDoc="0" locked="0" layoutInCell="1" allowOverlap="1">
            <wp:simplePos x="0" y="0"/>
            <wp:positionH relativeFrom="page">
              <wp:posOffset>3147060</wp:posOffset>
            </wp:positionH>
            <wp:positionV relativeFrom="paragraph">
              <wp:posOffset>50800</wp:posOffset>
            </wp:positionV>
            <wp:extent cx="353695" cy="536575"/>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3604260</wp:posOffset>
                </wp:positionH>
                <wp:positionV relativeFrom="paragraph">
                  <wp:posOffset>453390</wp:posOffset>
                </wp:positionV>
                <wp:extent cx="1280160" cy="103505"/>
                <wp:wrapNone/>
                <wp:docPr id="37" name="Shape 3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83.80000000000001pt;margin-top:35.700000000000003pt;width:100.8pt;height:8.15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3561715</wp:posOffset>
                </wp:positionH>
                <wp:positionV relativeFrom="paragraph">
                  <wp:posOffset>142240</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80.44999999999999pt;margin-top:11.200000000000001pt;width:135.59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3"/>
        <w:keepNext w:val="0"/>
        <w:keepLines w:val="0"/>
        <w:widowControl w:val="0"/>
        <w:shd w:val="clear" w:color="auto" w:fill="auto"/>
        <w:bidi w:val="0"/>
        <w:spacing w:before="0" w:after="0" w:line="240" w:lineRule="auto"/>
        <w:ind w:right="0" w:firstLine="0"/>
        <w:jc w:val="left"/>
      </w:pPr>
      <w:r>
        <w:rPr>
          <w:color w:val="8A8A8A"/>
          <w:spacing w:val="0"/>
          <w:w w:val="100"/>
          <w:position w:val="0"/>
          <w:shd w:val="clear" w:color="auto" w:fill="auto"/>
          <w:lang w:val="ru-RU" w:eastAsia="ru-RU" w:bidi="ru-RU"/>
        </w:rPr>
        <w:t xml:space="preserve">Кому </w:t>
      </w:r>
      <w:r>
        <w:rPr>
          <w:color w:val="6F6F6F"/>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Леонова Алена Альбертовна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009389Е972АА570Е22019Е7С5Ю28В0906</w:t>
      </w:r>
    </w:p>
    <w:p>
      <w:pPr>
        <w:pStyle w:val="Style23"/>
        <w:keepNext w:val="0"/>
        <w:keepLines w:val="0"/>
        <w:widowControl w:val="0"/>
        <w:shd w:val="clear" w:color="auto" w:fill="auto"/>
        <w:bidi w:val="0"/>
        <w:spacing w:before="0" w:after="142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20.09.2024 </w:t>
      </w:r>
      <w:r>
        <w:rPr>
          <w:color w:val="8A8A8A"/>
          <w:spacing w:val="0"/>
          <w:w w:val="100"/>
          <w:position w:val="0"/>
          <w:shd w:val="clear" w:color="auto" w:fill="auto"/>
          <w:lang w:val="ru-RU" w:eastAsia="ru-RU" w:bidi="ru-RU"/>
        </w:rPr>
        <w:t xml:space="preserve">по </w:t>
      </w:r>
      <w:r>
        <w:rPr>
          <w:color w:val="6F6F6F"/>
          <w:spacing w:val="0"/>
          <w:w w:val="100"/>
          <w:position w:val="0"/>
          <w:shd w:val="clear" w:color="auto" w:fill="auto"/>
          <w:lang w:val="ru-RU" w:eastAsia="ru-RU" w:bidi="ru-RU"/>
        </w:rPr>
        <w:t>14.12.2025</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158" w:right="541"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2024-46659</w:t>
                          </w:r>
                        </w:p>
                      </w:txbxContent>
                    </wps:txbx>
                    <wps:bodyPr wrap="none" lIns="0" tIns="0" rIns="0" bIns="0">
                      <a:spAutoFit/>
                    </wps:bodyPr>
                  </wps:wsp>
                </a:graphicData>
              </a:graphic>
            </wp:anchor>
          </w:drawing>
        </mc:Choice>
        <mc:Fallback>
          <w:pict>
            <v:shape id="_x0000_s1029" type="#_x0000_t202" style="position:absolute;margin-left:57.pt;margin-top:804.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2024-46659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10092690</wp:posOffset>
              </wp:positionV>
              <wp:extent cx="722630" cy="100330"/>
              <wp:wrapNone/>
              <wp:docPr id="15" name="Shape 1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2024-46659</w:t>
                          </w:r>
                        </w:p>
                      </w:txbxContent>
                    </wps:txbx>
                    <wps:bodyPr wrap="none" lIns="0" tIns="0" rIns="0" bIns="0">
                      <a:spAutoFit/>
                    </wps:bodyPr>
                  </wps:wsp>
                </a:graphicData>
              </a:graphic>
            </wp:anchor>
          </w:drawing>
        </mc:Choice>
        <mc:Fallback>
          <w:pict>
            <v:shape id="_x0000_s1041" type="#_x0000_t202" style="position:absolute;margin-left:57.25pt;margin-top:794.7000000000000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2024-46659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424180</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05000000000001pt;margin-top:33.39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3902710</wp:posOffset>
              </wp:positionH>
              <wp:positionV relativeFrom="page">
                <wp:posOffset>476250</wp:posOffset>
              </wp:positionV>
              <wp:extent cx="128270" cy="103505"/>
              <wp:wrapNone/>
              <wp:docPr id="13" name="Shape 1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37.5pt;width:10.1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3"/>
      <w:numFmt w:val="decimal"/>
      <w:lvlText w:val="%1."/>
    </w:lvl>
    <w:lvl w:ilvl="1">
      <w:start w:val="2"/>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515151"/>
      <w:sz w:val="12"/>
      <w:szCs w:val="12"/>
      <w:u w:val="none"/>
    </w:rPr>
  </w:style>
  <w:style w:type="character" w:customStyle="1" w:styleId="CharStyle30">
    <w:name w:val="Основной текст (5)_"/>
    <w:basedOn w:val="DefaultParagraphFont"/>
    <w:link w:val="Style29"/>
    <w:rPr>
      <w:rFonts w:ascii="Georgia" w:eastAsia="Georgia" w:hAnsi="Georgia" w:cs="Georgia"/>
      <w:b w:val="0"/>
      <w:bCs w:val="0"/>
      <w:i w:val="0"/>
      <w:iCs w:val="0"/>
      <w:smallCaps w:val="0"/>
      <w:strike w:val="0"/>
      <w:color w:val="E8E8E8"/>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spacing w:after="280"/>
      <w:ind w:firstLine="16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320"/>
      <w:ind w:firstLine="32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3">
    <w:name w:val="Основной текст (2)"/>
    <w:basedOn w:val="Normal"/>
    <w:link w:val="CharStyle24"/>
    <w:pPr>
      <w:widowControl w:val="0"/>
      <w:shd w:val="clear" w:color="auto" w:fill="auto"/>
      <w:ind w:left="3860"/>
    </w:pPr>
    <w:rPr>
      <w:rFonts w:ascii="Arial" w:eastAsia="Arial" w:hAnsi="Arial" w:cs="Arial"/>
      <w:b w:val="0"/>
      <w:bCs w:val="0"/>
      <w:i w:val="0"/>
      <w:iCs w:val="0"/>
      <w:smallCaps w:val="0"/>
      <w:strike w:val="0"/>
      <w:color w:val="515151"/>
      <w:sz w:val="12"/>
      <w:szCs w:val="12"/>
      <w:u w:val="none"/>
    </w:rPr>
  </w:style>
  <w:style w:type="paragraph" w:customStyle="1" w:styleId="Style29">
    <w:name w:val="Основной текст (5)"/>
    <w:basedOn w:val="Normal"/>
    <w:link w:val="CharStyle30"/>
    <w:pPr>
      <w:widowControl w:val="0"/>
      <w:shd w:val="clear" w:color="auto" w:fill="auto"/>
      <w:spacing w:after="100"/>
      <w:ind w:left="4580"/>
    </w:pPr>
    <w:rPr>
      <w:rFonts w:ascii="Georgia" w:eastAsia="Georgia" w:hAnsi="Georgia" w:cs="Georgia"/>
      <w:b w:val="0"/>
      <w:bCs w:val="0"/>
      <w:i w:val="0"/>
      <w:iCs w:val="0"/>
      <w:smallCaps w:val="0"/>
      <w:strike w:val="0"/>
      <w:color w:val="E8E8E8"/>
      <w:sz w:val="12"/>
      <w:szCs w:val="12"/>
      <w:u w:val="none"/>
    </w:rPr>
  </w:style>
  <w:style w:type="paragraph" w:customStyle="1" w:styleId="Style32">
    <w:name w:val="Основной текст (4)"/>
    <w:basedOn w:val="Normal"/>
    <w:link w:val="CharStyle33"/>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image" Target="media/image1.jpeg"/><Relationship Id="rId12" Type="http://schemas.openxmlformats.org/officeDocument/2006/relationships/image" Target="media/image1.jpeg" TargetMode="Externa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s>
</file>