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headerReference w:type="default" r:id="rId5"/>
          <w:footerReference w:type="default" r:id="rId6"/>
          <w:headerReference w:type="even" r:id="rId7"/>
          <w:footerReference w:type="even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162" w:right="2586" w:bottom="636" w:left="1600" w:header="0" w:footer="3" w:gutter="0"/>
          <w:pgNumType w:start="1"/>
          <w:cols w:num="2" w:space="720" w:equalWidth="0">
            <w:col w:w="3221" w:space="1584"/>
            <w:col w:w="2909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«ДГП № 58 ДЗМ»</w:t>
      </w:r>
    </w:p>
    <w:p>
      <w:pPr>
        <w:pStyle w:val="Style2"/>
        <w:keepNext w:val="0"/>
        <w:keepLines w:val="0"/>
        <w:framePr w:w="1411" w:h="240" w:wrap="none" w:vAnchor="text" w:hAnchor="page" w:x="2513" w:y="1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8"/>
        <w:keepNext w:val="0"/>
        <w:keepLines w:val="0"/>
        <w:framePr w:w="3322" w:h="394" w:wrap="none" w:vAnchor="text" w:hAnchor="page" w:x="640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fldChar w:fldCharType="begin"/>
      </w:r>
      <w:r>
        <w:rPr/>
        <w:instrText> HYPERLINK "mailto:kushakovaLG@zdrav.mos.ru"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ки8ЪакоVа^6@x^^аV.то8.^и</w:t>
      </w:r>
      <w:r>
        <w:fldChar w:fldCharType="end"/>
      </w:r>
    </w:p>
    <w:p>
      <w:pPr>
        <w:pStyle w:val="Style2"/>
        <w:keepNext w:val="0"/>
        <w:keepLines w:val="0"/>
        <w:framePr w:w="1138" w:h="240" w:wrap="none" w:vAnchor="text" w:hAnchor="page" w:x="2653" w:y="5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2"/>
        <w:keepNext w:val="0"/>
        <w:keepLines w:val="0"/>
        <w:framePr w:w="2453" w:h="461" w:wrap="none" w:vAnchor="text" w:hAnchor="page" w:x="1985" w:y="9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mallCaps/>
          <w:spacing w:val="0"/>
          <w:w w:val="100"/>
          <w:position w:val="0"/>
          <w:shd w:val="clear" w:color="auto" w:fill="auto"/>
          <w:lang w:val="ru-RU" w:eastAsia="ru-RU" w:bidi="ru-RU"/>
        </w:rPr>
        <w:t>Мясницкий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проезд, д.4, стр. 1</w:t>
        <w:br/>
        <w:t>107078, г. Москва,</w:t>
      </w:r>
    </w:p>
    <w:p>
      <w:pPr>
        <w:pStyle w:val="Style8"/>
        <w:keepNext w:val="0"/>
        <w:keepLines w:val="0"/>
        <w:framePr w:w="2059" w:h="394" w:wrap="none" w:vAnchor="text" w:hAnchor="page" w:x="6406" w:y="6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Гордеев Д.А.</w:t>
      </w:r>
    </w:p>
    <w:p>
      <w:pPr>
        <w:pStyle w:val="Style2"/>
        <w:keepNext w:val="0"/>
        <w:keepLines w:val="0"/>
        <w:framePr w:w="3835" w:h="912" w:wrap="none" w:vAnchor="text" w:hAnchor="page" w:x="1270" w:y="1427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е-тай: 1о77@Га8.еоу.ги</w:t>
      </w:r>
    </w:p>
    <w:p>
      <w:pPr>
        <w:pStyle w:val="Style12"/>
        <w:keepNext/>
        <w:keepLines/>
        <w:framePr w:w="3835" w:h="912" w:wrap="none" w:vAnchor="text" w:hAnchor="page" w:x="1270" w:y="1427"/>
        <w:widowControl w:val="0"/>
        <w:shd w:val="clear" w:color="auto" w:fill="auto"/>
        <w:tabs>
          <w:tab w:pos="1838" w:val="left"/>
        </w:tabs>
        <w:bidi w:val="0"/>
        <w:spacing w:before="0" w:after="0" w:line="240" w:lineRule="auto"/>
        <w:ind w:left="0" w:right="0" w:firstLine="0"/>
        <w:jc w:val="left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04.10.2024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40979/24</w:t>
      </w:r>
      <w:bookmarkEnd w:id="0"/>
    </w:p>
    <w:p>
      <w:pPr>
        <w:pStyle w:val="Style8"/>
        <w:keepNext w:val="0"/>
        <w:keepLines w:val="0"/>
        <w:framePr w:w="2856" w:h="398" w:wrap="none" w:vAnchor="text" w:hAnchor="page" w:x="6416" w:y="12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до^^ееVа025@уап^еx.^и</w:t>
      </w:r>
    </w:p>
    <w:p>
      <w:pPr>
        <w:pStyle w:val="Style8"/>
        <w:keepNext w:val="0"/>
        <w:keepLines w:val="0"/>
        <w:framePr w:w="1517" w:h="398" w:wrap="none" w:vAnchor="text" w:hAnchor="page" w:x="6406" w:y="19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3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32" w:bottom="649" w:left="1106" w:header="0" w:footer="3" w:gutter="0"/>
          <w:cols w:space="720"/>
          <w:noEndnote/>
          <w:rtlGutter w:val="0"/>
          <w:docGrid w:linePitch="360"/>
        </w:sectPr>
      </w:pP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left="462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12700</wp:posOffset>
                </wp:positionV>
                <wp:extent cx="311150" cy="152400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115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На№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7.pt;margin-top:1.pt;width:24.5pt;height:12.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На№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тГо@го8екогд.ги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  <w:br/>
        <w:t>по делу №077/06/106-13401/2024 о нарушении</w:t>
        <w:br/>
        <w:t>законодательства о контрактной системе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6402070</wp:posOffset>
                </wp:positionH>
                <wp:positionV relativeFrom="paragraph">
                  <wp:posOffset>38100</wp:posOffset>
                </wp:positionV>
                <wp:extent cx="798830" cy="259080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9883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Москва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04.10000000000002pt;margin-top:3.pt;width:62.899999999999999pt;height:20.400000000000002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Москва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30.09.2024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главного государственного инспектора отдела обжалования государственных закупок С.И. Казарина,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М.О. Мацневой,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А.А. Леоновой,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</w:t>
        <w:softHyphen/>
        <w:t>конференц-связи) при участии представителей ГБУЗ «ДГП № 58 ДЗМ»: Атаманенко Т.В. (дов.№б/н от 30.09.2024), Томиловой О.Г. (дов.№б/н от 30.09.2024),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ИП Гордеев Д.А., о времени и порядке заседания Комиссии Управления уведомленных надлежащим образом посредством размещения сведений в Единой информационной системе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8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ИП Гордеев Д.А. (далее — Заявитель) на действия ГБУЗ «ДГП № 58 ДЗМ» (далее — Заказчик) при проведении электронного аукциона на право заключения государственного контракта на оказание услуг по очистке снега с крыш без вывоза снега (наледи, сосулек) для нужд ГБУЗ "ДГП № 58 ДЗМ" (у субъектов малого предпринимательства, социально ориентированных некоммерческих организаций) (Закупка № 0373200564024000099) (далее — аукцион), в соответствии с Федеральным законом от 05.04.2013 № 44-ФЗ «О контрактной системе в сфере закупок товаров, работ, услуг для обеспечения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1111111111111111111111111111</w:t>
      </w:r>
      <w:bookmarkEnd w:id="2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государственных и муниципальных нужд» (далее — Закон о контрактной системе),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59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представленные документы и сведения Комиссия Управления установила следующее.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Заказчика, выразившиеся в утверждении извещения в нарушение Закона о контрактной системе.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Заказчиком неправомерно не установлены дополнительные требования к участникам закупочной процедуры в соответствии с п.14 приложения «Дополнительные требования к участникам закупки отдельных видов товаров, работ, услуг для обеспечения государственных и муниципальных нужд» (далее — Приложение) Постановления Правительства №2571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(далее — Постановление №2571).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ч.2 ст.31 Закона о контрактной системе Правительство Российской Федерации вправе устанавливать к участникам закупок отдельных видов товаров, работ, услуг дополнительные требования, в том числе к наличию опыта работы, связанного с предметом контракта, и деловой репутации.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ч.3 ст.31 Закона о контрактной системе перечень информации и документов, которые подтверждают соответствие участников закупок дополнительным требованиям, указанным в ч.2 и 2.1 ст.31 Закона о контрактной системе, устанавливается Правительством Российской Федерации.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ст.31 Закона о контрактной системе в случае установления Правительством Российской Федерации в соответствии с ч.2 ст.31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59" w:lineRule="auto"/>
        <w:ind w:left="0" w:right="0" w:firstLine="70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72" w:right="534" w:bottom="926" w:left="1104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пп.«а» п.1 Постановления №2571 установлено, что к участникам закупки отдельных видов товаров, работ, услуг предъявляются дополнительные требования согласно Приложению. Соответствие участников закупки указанным дополнительным требованиям подтверждается информацией и документами, предусмотренными Приложением.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пп.«а» п.3 Постановления №2571 положения Постановления №2571 применяются при проведении конкурентных способов определения поставщиков (подрядчиков, исполнителей), при этом: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позиция Приложения применяется с учетом положений п.3 Постановления №2571 в случае, если объект закупки включает один или несколько закупаемых товаров, работ, услуг, указанных в приложении в соответствующей позиции графы «Наименование отдельных видов товаров, работ, услуг, являющихся объектом закупки, наименование товаров, работ, услуг, являющихся объектом отдельных видов закупок»;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позиции 14, 15 и 36 Приложения применяются в случае, если при осуществлении закупки начальная (максимальная) цена контракта превышает 1 млн.рублей.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п.14 Приложения при проведении закупочной процедуры объектом которой являются работы, услуги по техническому обслуживанию зданий, сооружений к участникам закупочной процедуры предъявляются дополнительные требования о наличие опыта исполнения участником закупки договора, предусматривающего выполнение работ, оказание услуг по техническому обслуживанию зданий, сооружений.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п.5 ч.1 ст.42 Закона о контрактной системе извещение об осуществлении закупки должно содержать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ч.6 ст.23 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п.9 ч.1 ст.42 Закона о контрактной системе извещение об осуществлении закупки должно содержать, в том числе, информацию о начальной (максимальной) цене контракта (цена отдельных этапов исполнения контракта, если проектом контракта предусмотрены такие этапы).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что, согласно извещению об осуществлении закупки, объектом конкурентной процедуры является оказание услуг по очистке снега с крыш без вывоза снега (наледи, сосулек) для нужд ГБУЗ "ДГП № 58 ДЗМ" (у субъектов малого предпринимательства, социально ориентированных некоммерческих организаций), при этом начальная (максимальная) цена контракта составляет 2 651 835,26 руб.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0" w:right="0" w:firstLine="700"/>
        <w:jc w:val="both"/>
        <w:rPr>
          <w:sz w:val="22"/>
          <w:szCs w:val="22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672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2024-46261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описании объекта закупки в том числе указано следующее: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39" w:val="left"/>
          <w:tab w:pos="2121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«2.1 Исполнитель оказывает услуги по: очистке крыш (в том числе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свесов, карнизов, желобов, воронок водосточных труб и внутренних водостоков), а также козырьков, входных групп и других выступающих элементов фасада (далее - выступающих элементов фасада) от снега, наледи и сосулек; (далее - услуги) в соответствии с Приложением 1 «Перечень объектов закупки» к настоящему Техническому заданию, с требованиями действующих нормативных правовых и нормативных технических актов, указанных в разделе 7 «Перечень нормативных технических и нормативных правовых актов» настоящего Технического задания»;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39" w:val="left"/>
          <w:tab w:pos="2121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«3.5 Очистка крыши от снега, наледи и сосулек включает в себя: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144" w:val="left"/>
          <w:tab w:pos="2150" w:val="left"/>
        </w:tabs>
        <w:bidi w:val="0"/>
        <w:spacing w:before="0" w:after="0"/>
        <w:ind w:left="14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3.5.1 Установку и снятие защитных лотков на водоприемные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воронки водосточных труб 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внутренних водостоков.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144" w:val="left"/>
          <w:tab w:pos="2150" w:val="left"/>
        </w:tabs>
        <w:bidi w:val="0"/>
        <w:spacing w:before="0" w:after="0"/>
        <w:ind w:left="14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3.5.2 Изготовление, установку и снятие на крыше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приспособлений и устройств, позволяющих повысить безопасность оказания услуг (при необходимости).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144" w:val="left"/>
          <w:tab w:pos="2150" w:val="left"/>
        </w:tabs>
        <w:bidi w:val="0"/>
        <w:spacing w:before="0" w:after="0"/>
        <w:ind w:left="14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3.5.3 Ручную очистку крыши от снега, наледи (по всей площади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крыши): очищать крышу от снега следует со всех ее скатов, начиная от карнизов к коньку равномерно, не допуская перегрузки от снега отдельных участков. Для предохранения кровельного покрытия от повреждений снег убирается с крыши не полностью, а оставляется слой толщиной не менее 5 см. Также с крыши не снимается и тонкий слой льда, за исключением свесов, где полная очистка необходима для предупреждения образования наледей и сосулек.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144" w:val="left"/>
          <w:tab w:pos="2150" w:val="left"/>
        </w:tabs>
        <w:bidi w:val="0"/>
        <w:spacing w:before="0" w:after="0"/>
        <w:ind w:left="14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3.5.4 Очистку крыши от снега и наледи (по периметру на 1,5 м от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края). Частичная уборка производится только на плоских крышах и зданиях с прочным покрытием.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144" w:val="left"/>
          <w:tab w:pos="2150" w:val="left"/>
        </w:tabs>
        <w:bidi w:val="0"/>
        <w:spacing w:before="0" w:after="0"/>
        <w:ind w:left="14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3.5.5 Очистку крыш от сосулек.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144" w:val="left"/>
          <w:tab w:pos="2150" w:val="left"/>
        </w:tabs>
        <w:bidi w:val="0"/>
        <w:spacing w:before="0" w:after="0"/>
        <w:ind w:left="14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3.5.6 Очистку от снега, наледи и сосулек карнизов, желобов,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воронок водосточных труб и внутренних водостоков, а также выступающих элементов фасада».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162" w:right="550" w:bottom="1162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ч.5 ст.31 Закона о контрактной системе информация об установленных требованиях в соответствии с частями 1, 1.1, 2 и 2.1 ст.31 Закона контрактной системе указывается заказчиком в извещении об осуществлении закупки и документации о закупке (в случае, если Законом о контрактной системе предусмотрена документация о закупке).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п.12 ч.1 ст.42 Закона о контрактной системе извещение об осуществлении закупки должно содержать требования, предъявляемые к участникам закупки в соответствии с ч.1 ст.31 Закона о контрактной системе, требования, предъявляемые к участникам закупки в соответствии с ч.2 и 2.1 (при наличии таких требований) ст.31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ч.1.1 ст.31 Закона о контрактной системе (при наличии такого требования).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Комиссией Управления установлено, что извещении об осуществлении дополнительные требования к участникам закупки в соответствии с ч.2 ст.31 Закона о контрактной системе не устанавливались Заказчиком.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согласно п.9.2 СП 255.1325800.2016 определен состав работ по текущему обслуживанию входят: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45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исправление незначительных неисправностей, выявленных в ходе осмотров;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25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проведение регламентных работ по регулировке и наладке систем инженерно-технического обеспечения, в том числе при подготовке к сезонной эксплуатации;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25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проведение работ по подготовке здания (сооружения) к сезонной эксплуатации;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54" w:val="left"/>
        </w:tabs>
        <w:bidi w:val="0"/>
        <w:spacing w:before="0" w:after="0" w:line="254" w:lineRule="auto"/>
        <w:ind w:left="7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санитарное содержание помещений здания (сооружения) и прилегающей территории;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45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уборка снега;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71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обеспечение работоспособности систем (станций) мониторинга технического состояния и динамического поведения конструкций и прилегающих грунтов (если такие системы установлены).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Заказчиком не предусмотрена уборка снега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после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чистки кровли от наледи и сосулек, из чего следует, что объект закупочной процедуры не связан с текущим обслуживанием здания и не подпадает под условия применения п.14 Постановления №2571.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этим, Комиссия Управления отмечает, что Свод Правил «СП 255.1325800.2016. Свод правил. Здания и сооружения. Правила эксплуатации. Основные положения» от 19.05.2023 устанавливает общие эксплуатационные требования к зданиям и сооружениям в условиях нормальной эксплуатации.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70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Согласно п.9.2 СП 255.1325800.2016 определено, что в состав работ по текущему обслуживанию входят: - исправление незначительных неисправностей, выявленных в ходе осмотров; - проведение регламентных работ по регулировке и наладке систем инженерно-технического обеспечения, в том числе при подготовке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2024-46261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 сезонной эксплуатации; - проведение работ по подготовке здания (сооружения) к сезонной эксплуатации; - санитарное содержание помещений здания (сооружения) и прилегающей территории; - уборка снега; - обеспечение работоспособности систем (станций) мониторинга технического состояния и динамического поведения конструкций и прилегающих грунтов (если такие системы установлены).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в состав работ по текущему обслуживанию здания уборка снега выделена в отдельную категорию.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п.11.3 СП 255.1325800.2016 для предохранения строительных конструкций и оснований зданий (сооружений) от воздействия атмосферных осадков и грунтовых вод следует, в том числе, обеспечивать своевременную очистку и удаления наледей и сосулек с карнизов и, при необходимости, уборку снега кровли; организовывать уборку снега от стен здания (сооружения) на расстоянии не менее 2 м при наступлении оттепелей.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следует, что объект закупочной процедуры связан с текущим обслуживанием здания и подпадает под условия применения п.14 приложения к Постановлению № 2571.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представитель Заказчика также отметил, что п. 14 приложения к Постановлению № 2571 находится в разделе II. «Дополнительные требования к участникам закупки в сфере градостроительной деятельности, информация и документы, подтверждающие соответствие участников закупок таким дополнительным требованиям», в связи с чем объект оспариваемой закупки не относится к градостроительной деятельности.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отмечает, что, согласно п.6.1 письма Минфина России 24-01-09/10138 от 14.02.2022, вид или сфера деятельности заказчика не образует условия применения дополнительных требований к участникам закупки. Наименования разделов Приложения сформированы в отношении сферы закупки (сферы закупаемых товаров, работ, услуг) и не предусматривают соотнесения с видами или сферами деятельности заказчика.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согласно п.9.1 СП 255.1325800.2016 текущее обслуживание здания включает в себя подготовку здания (сооружения), его элементов и систем к сезонной эксплуатации, что является одной из задач технического обслуживания здания. Соответственно, Заказчиком осуществляется закупка услуг, связанных с проведением текущего обслуживания здания, на основании чего должен быть применен п.14 приложения к Постановлению № 2571 «Услуги по техническому обслуживанию зданий, сооружений».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дополнительные требования к участникам необходимо устанавливать при любых конкурентных процедурах, если объект закупки включен в Приложение и в ряде случаев превышает определенную начальную (максимальную) цену контракта.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связи с вышеизложенным Комиссия Управления приходит к выводу, что Заказчику надлежало установить дополнительные требования к участникам закупки в соответствии с п.14 Приложения к Постановлению № 2571.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334" w:lineRule="auto"/>
        <w:ind w:left="0" w:right="0" w:firstLine="700"/>
        <w:jc w:val="both"/>
        <w:rPr>
          <w:sz w:val="22"/>
          <w:szCs w:val="22"/>
        </w:rPr>
        <w:sectPr>
          <w:headerReference w:type="default" r:id="rId11"/>
          <w:footerReference w:type="default" r:id="rId12"/>
          <w:headerReference w:type="even" r:id="rId13"/>
          <w:footerReference w:type="even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42" w:bottom="620" w:left="1105" w:header="0" w:footer="192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Таким образом, Комиссия Управления приходит к выводу о нарушении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2024-46261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Заказчика ч.4 ст.31, п.12 ч.1 ст.42 Закона о контрактной системе, что также свидетельствует о наличии в действиях Заказчика признаков состава административного правонарушения, ответственность за которое предусмотрена частью ч.1.4 ст.7.30 Кодекса Российской Федерации об административных правонарушениях.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54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ИП Гордеев Д.А. на действия ГБУЗ «ДГП № 58 ДЗМ» обоснованной.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59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Заказчика нарушение ч.4 ст.31, п.12 ч.1 ст.42 Закона о контрактной системе.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98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98" w:val="left"/>
        </w:tabs>
        <w:bidi w:val="0"/>
        <w:spacing w:before="0" w:after="24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 (Арбитражном суде г. Москвы) в порядке, установленном гл. 24 АПК РФ, в течение 3(трех) месяцев с даты его принятия.</w:t>
      </w:r>
    </w:p>
    <w:p>
      <w:pPr>
        <w:widowControl w:val="0"/>
        <w:spacing w:line="1" w:lineRule="exact"/>
        <w:sectPr>
          <w:headerReference w:type="default" r:id="rId15"/>
          <w:footerReference w:type="default" r:id="rId16"/>
          <w:headerReference w:type="even" r:id="rId17"/>
          <w:footerReference w:type="even" r:id="rId18"/>
          <w:footnotePr>
            <w:pos w:val="pageBottom"/>
            <w:numFmt w:val="decimal"/>
            <w:numRestart w:val="continuous"/>
          </w:footnotePr>
          <w:pgSz w:w="11900" w:h="16840"/>
          <w:pgMar w:top="1162" w:right="527" w:bottom="1253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39700" distB="356235" distL="0" distR="0" simplePos="0" relativeHeight="125829382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139700</wp:posOffset>
                </wp:positionV>
                <wp:extent cx="1828800" cy="25019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57.950000000000003pt;margin-top:11.pt;width:144.pt;height:19.699999999999999pt;z-index:-125829371;mso-wrap-distance-left:0;mso-wrap-distance-top:11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76530" distB="0" distL="0" distR="1789430" simplePos="0" relativeHeight="125829384" behindDoc="0" locked="0" layoutInCell="1" allowOverlap="1">
            <wp:simplePos x="0" y="0"/>
            <wp:positionH relativeFrom="page">
              <wp:posOffset>3074035</wp:posOffset>
            </wp:positionH>
            <wp:positionV relativeFrom="paragraph">
              <wp:posOffset>176530</wp:posOffset>
            </wp:positionV>
            <wp:extent cx="389890" cy="572770"/>
            <wp:wrapTopAndBottom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615315</wp:posOffset>
                </wp:positionV>
                <wp:extent cx="1280160" cy="10033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81.15000000000003pt;margin-top:48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301625</wp:posOffset>
                </wp:positionV>
                <wp:extent cx="1725295" cy="2559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77.55000000000001pt;margin-top:23.7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39700" distB="356235" distL="0" distR="0" simplePos="0" relativeHeight="125829385" behindDoc="0" locked="0" layoutInCell="1" allowOverlap="1">
                <wp:simplePos x="0" y="0"/>
                <wp:positionH relativeFrom="page">
                  <wp:posOffset>6185535</wp:posOffset>
                </wp:positionH>
                <wp:positionV relativeFrom="paragraph">
                  <wp:posOffset>139700</wp:posOffset>
                </wp:positionV>
                <wp:extent cx="1029970" cy="25019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487.05000000000001pt;margin-top:11.pt;width:81.100000000000009pt;height:19.699999999999999pt;z-index:-125829368;mso-wrap-distance-left:0;mso-wrap-distance-top:11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КАЗАРИН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СЕРГЕЙ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ИГОРЕВИЧ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000590946031СЕ073ВЕ5С506ЕЕ7501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0760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3730" simplePos="0" relativeHeight="125829387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3569970</wp:posOffset>
                </wp:positionH>
                <wp:positionV relativeFrom="paragraph">
                  <wp:posOffset>461010</wp:posOffset>
                </wp:positionV>
                <wp:extent cx="1280160" cy="103505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E9E9E9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rFonts w:ascii="Arial" w:eastAsia="Arial" w:hAnsi="Arial" w:cs="Arial"/>
                                <w:color w:val="E9E9E9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81.10000000000002pt;margin-top:36.300000000000004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E9E9E9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rFonts w:ascii="Arial" w:eastAsia="Arial" w:hAnsi="Arial" w:cs="Arial"/>
                          <w:color w:val="E9E9E9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150495</wp:posOffset>
                </wp:positionV>
                <wp:extent cx="1725295" cy="255905"/>
                <wp:wrapNone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277.5pt;margin-top:11.85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Леонова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Леонова Алена Альбертовна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№ </w:t>
      </w: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>009389Е972АА570Е22019Е7С51028В0906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20.09.2024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14.12.2025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3730" simplePos="0" relativeHeight="125829388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41" name="Shape 4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box 42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3569970</wp:posOffset>
                </wp:positionH>
                <wp:positionV relativeFrom="paragraph">
                  <wp:posOffset>464185</wp:posOffset>
                </wp:positionV>
                <wp:extent cx="1280160" cy="100330"/>
                <wp:wrapNone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E9E9E9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281.10000000000002pt;margin-top:36.550000000000004pt;width:100.8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E9E9E9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277.5pt;margin-top:12.1pt;width:135.84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Мацнева Мария Олеговна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>008ЭЗЕ81</w:t>
      </w: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>769ОЕ8688ОЭ1Е612СЗС6В74577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20.05.2024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13.08.2025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Исп.Леонова А.А.,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27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10149840</wp:posOffset>
              </wp:positionV>
              <wp:extent cx="719455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2024-46261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200000000000003pt;margin-top:799.20000000000005pt;width:56.64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2024-46261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13105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31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2024-46261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804.5pt;width:56.149999999999999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2024-46261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10149840</wp:posOffset>
              </wp:positionV>
              <wp:extent cx="719455" cy="100330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2024-46261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57.200000000000003pt;margin-top:799.20000000000005pt;width:56.649999999999999pt;height:7.9000000000000004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2024-46261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10149840</wp:posOffset>
              </wp:positionV>
              <wp:extent cx="719455" cy="100330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2024-46261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9" type="#_x0000_t202" style="position:absolute;margin-left:57.200000000000003pt;margin-top:799.20000000000005pt;width:56.649999999999999pt;height:7.9000000000000004pt;z-index:-1887440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2024-46261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09.25pt;margin-top:37.5pt;width:4.54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309.19999999999999pt;margin-top:37.5pt;width:5.0499999999999998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9.25pt;margin-top:37.5pt;width:4.5499999999999998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309.25pt;margin-top:37.5pt;width:4.5499999999999998pt;height:8.15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309.19999999999999pt;margin-top:37.5pt;width:5.0499999999999998pt;height:8.1500000000000004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309.19999999999999pt;margin-top:37.5pt;width:5.0499999999999998pt;height:8.1500000000000004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Основной текст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3">
    <w:name w:val="Заголовок №2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7">
    <w:name w:val="Заголовок №1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21">
    <w:name w:val="Подпись к картинке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character" w:customStyle="1" w:styleId="CharStyle26">
    <w:name w:val="Основной текст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696969"/>
      <w:sz w:val="12"/>
      <w:szCs w:val="12"/>
      <w:u w:val="none"/>
    </w:rPr>
  </w:style>
  <w:style w:type="character" w:customStyle="1" w:styleId="CharStyle32">
    <w:name w:val="Основной текст (4)_"/>
    <w:basedOn w:val="DefaultParagraphFont"/>
    <w:link w:val="Style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Основной текст"/>
    <w:basedOn w:val="Normal"/>
    <w:link w:val="CharStyle9"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2">
    <w:name w:val="Заголовок №2"/>
    <w:basedOn w:val="Normal"/>
    <w:link w:val="CharStyle13"/>
    <w:pPr>
      <w:widowControl w:val="0"/>
      <w:shd w:val="clear" w:color="auto" w:fill="auto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6">
    <w:name w:val="Заголовок №1"/>
    <w:basedOn w:val="Normal"/>
    <w:link w:val="CharStyle17"/>
    <w:pPr>
      <w:widowControl w:val="0"/>
      <w:shd w:val="clear" w:color="auto" w:fill="auto"/>
      <w:spacing w:after="30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0">
    <w:name w:val="Подпись к картинке"/>
    <w:basedOn w:val="Normal"/>
    <w:link w:val="CharStyle21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paragraph" w:customStyle="1" w:styleId="Style25">
    <w:name w:val="Основной текст (2)"/>
    <w:basedOn w:val="Normal"/>
    <w:link w:val="CharStyle26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96969"/>
      <w:sz w:val="12"/>
      <w:szCs w:val="12"/>
      <w:u w:val="none"/>
    </w:rPr>
  </w:style>
  <w:style w:type="paragraph" w:customStyle="1" w:styleId="Style31">
    <w:name w:val="Основной текст (4)"/>
    <w:basedOn w:val="Normal"/>
    <w:link w:val="CharStyle32"/>
    <w:pPr>
      <w:widowControl w:val="0"/>
      <w:shd w:val="clear" w:color="auto" w:fill="auto"/>
      <w:spacing w:after="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oter" Target="footer3.xml"/><Relationship Id="rId11" Type="http://schemas.openxmlformats.org/officeDocument/2006/relationships/header" Target="header4.xml"/><Relationship Id="rId12" Type="http://schemas.openxmlformats.org/officeDocument/2006/relationships/footer" Target="footer4.xml"/><Relationship Id="rId13" Type="http://schemas.openxmlformats.org/officeDocument/2006/relationships/header" Target="header5.xml"/><Relationship Id="rId14" Type="http://schemas.openxmlformats.org/officeDocument/2006/relationships/footer" Target="footer5.xml"/><Relationship Id="rId15" Type="http://schemas.openxmlformats.org/officeDocument/2006/relationships/header" Target="header6.xml"/><Relationship Id="rId16" Type="http://schemas.openxmlformats.org/officeDocument/2006/relationships/footer" Target="footer6.xml"/><Relationship Id="rId17" Type="http://schemas.openxmlformats.org/officeDocument/2006/relationships/header" Target="header7.xml"/><Relationship Id="rId18" Type="http://schemas.openxmlformats.org/officeDocument/2006/relationships/footer" Target="footer7.xml"/><Relationship Id="rId19" Type="http://schemas.openxmlformats.org/officeDocument/2006/relationships/image" Target="media/image1.jpeg"/><Relationship Id="rId20" Type="http://schemas.openxmlformats.org/officeDocument/2006/relationships/image" Target="media/image1.jpeg" TargetMode="External"/><Relationship Id="rId21" Type="http://schemas.openxmlformats.org/officeDocument/2006/relationships/image" Target="media/image2.jpeg"/><Relationship Id="rId22" Type="http://schemas.openxmlformats.org/officeDocument/2006/relationships/image" Target="media/image2.jpeg" TargetMode="External"/><Relationship Id="rId23" Type="http://schemas.openxmlformats.org/officeDocument/2006/relationships/image" Target="media/image3.jpeg"/><Relationship Id="rId24" Type="http://schemas.openxmlformats.org/officeDocument/2006/relationships/image" Target="media/image3.jpeg" TargetMode="External"/></Relationships>
</file>