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651760" distL="1174750" distR="1139190" simplePos="0" relativeHeight="125829378" behindDoc="0" locked="0" layoutInCell="1" allowOverlap="1">
            <wp:simplePos x="0" y="0"/>
            <wp:positionH relativeFrom="page">
              <wp:posOffset>1781175</wp:posOffset>
            </wp:positionH>
            <wp:positionV relativeFrom="paragraph">
              <wp:posOffset>12700</wp:posOffset>
            </wp:positionV>
            <wp:extent cx="511810" cy="597535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9753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04215" distB="1713230" distL="312420" distR="264160" simplePos="0" relativeHeight="125829379" behindDoc="0" locked="0" layoutInCell="1" allowOverlap="1">
                <wp:simplePos x="0" y="0"/>
                <wp:positionH relativeFrom="page">
                  <wp:posOffset>918845</wp:posOffset>
                </wp:positionH>
                <wp:positionV relativeFrom="paragraph">
                  <wp:posOffset>716915</wp:posOffset>
                </wp:positionV>
                <wp:extent cx="2249170" cy="83185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9170" cy="8318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76" w:lineRule="auto"/>
                              <w:ind w:left="0" w:right="0" w:firstLine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4562A3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562A3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Ростовской области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72.350000000000009pt;margin-top:56.450000000000003pt;width:177.09999999999999pt;height:65.5pt;z-index:-125829374;mso-wrap-distance-left:24.600000000000001pt;mso-wrap-distance-top:55.450000000000003pt;mso-wrap-distance-right:20.800000000000001pt;mso-wrap-distance-bottom:134.9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76" w:lineRule="auto"/>
                        <w:ind w:left="0" w:right="0" w:firstLine="0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color w:val="4562A3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b/>
                          <w:bCs/>
                          <w:color w:val="4562A3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Ростовской области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1661160" distB="832485" distL="336550" distR="447040" simplePos="0" relativeHeight="125829381" behindDoc="0" locked="0" layoutInCell="1" allowOverlap="1">
                <wp:simplePos x="0" y="0"/>
                <wp:positionH relativeFrom="page">
                  <wp:posOffset>942975</wp:posOffset>
                </wp:positionH>
                <wp:positionV relativeFrom="paragraph">
                  <wp:posOffset>1673860</wp:posOffset>
                </wp:positionV>
                <wp:extent cx="2042160" cy="755650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2160" cy="7556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пр. Ворошиловский, 2/2, офис 403</w:t>
                              <w:br/>
                              <w:t>г. Ростов-на-Дону, 344006</w:t>
                              <w:br/>
                              <w:t>тел. (863) 263-31-04, факс (863) 240-99-59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е-тай: 1о61@Га5.§оу.ги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28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штамп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642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регистрации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4562A3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кг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74.25pt;margin-top:131.80000000000001pt;width:160.80000000000001pt;height:59.5pt;z-index:-125829372;mso-wrap-distance-left:26.5pt;mso-wrap-distance-top:130.80000000000001pt;mso-wrap-distance-right:35.200000000000003pt;mso-wrap-distance-bottom:65.549999999999997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пр. Ворошиловский, 2/2, офис 403</w:t>
                        <w:br/>
                        <w:t>г. Ростов-на-Дону, 344006</w:t>
                        <w:br/>
                        <w:t>тел. (863) 263-31-04, факс (863) 240-99-59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е-тай: 1о61@Га5.§оу.ги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28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штамп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642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регистрации</w:t>
                        <w:tab/>
                      </w:r>
                      <w:r>
                        <w:fldChar w:fldCharType="end"/>
                      </w:r>
                      <w:r>
                        <w:rPr>
                          <w:color w:val="4562A3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кг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3075305" distB="0" distL="117475" distR="114300" simplePos="0" relativeHeight="125829383" behindDoc="0" locked="0" layoutInCell="1" allowOverlap="1">
            <wp:simplePos x="0" y="0"/>
            <wp:positionH relativeFrom="page">
              <wp:posOffset>723900</wp:posOffset>
            </wp:positionH>
            <wp:positionV relativeFrom="paragraph">
              <wp:posOffset>3088005</wp:posOffset>
            </wp:positionV>
            <wp:extent cx="2597150" cy="176530"/>
            <wp:wrapSquare wrapText="right"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7653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720725</wp:posOffset>
                </wp:positionH>
                <wp:positionV relativeFrom="paragraph">
                  <wp:posOffset>2621915</wp:posOffset>
                </wp:positionV>
                <wp:extent cx="2578735" cy="161290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1612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6.75pt;margin-top:206.45000000000002pt;width:203.05000000000001pt;height:12.70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На№  от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drawing>
          <wp:anchor distT="88900" distB="0" distL="114300" distR="114300" simplePos="0" relativeHeight="125829384" behindDoc="0" locked="0" layoutInCell="1" allowOverlap="1">
            <wp:simplePos x="0" y="0"/>
            <wp:positionH relativeFrom="page">
              <wp:posOffset>714375</wp:posOffset>
            </wp:positionH>
            <wp:positionV relativeFrom="paragraph">
              <wp:posOffset>9257030</wp:posOffset>
            </wp:positionV>
            <wp:extent cx="1517650" cy="292735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ИП Гераськина Ольга Владимировна</w:t>
      </w:r>
      <w:bookmarkEnd w:id="0"/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(далее - Заявитель)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ул. Полевая, д. 1, кв. 65, г. Фрязино, Московская область, 141195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ЕтаП: дега8ктаоV@уапдеx.ш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" w:name="bookmark3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ГБУ РО «Городская больница №6»</w:t>
      </w:r>
      <w:bookmarkEnd w:id="3"/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г. Ростове-на-Дону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(далее - Заказчик)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ул. Сарьяна, д. 85/38, г. Ростов-на-Дону, 344025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ЕтаП:отхдЬ6@уапдех.ш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7" w:name="bookmark7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АО «ЕЭТП»</w:t>
      </w:r>
      <w:bookmarkEnd w:id="7"/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9" w:name="bookmark9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(далее - Оператор электронной площадки)</w:t>
      </w:r>
      <w:bookmarkEnd w:id="9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ЕтаП: ко@гозе11огд.ш тГо@гозе11огд.ш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40" w:lineRule="auto"/>
        <w:ind w:left="4480" w:right="0" w:firstLine="0"/>
        <w:jc w:val="left"/>
      </w:pPr>
      <w:bookmarkStart w:id="11" w:name="bookmark11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</w:t>
      </w:r>
      <w:bookmarkEnd w:id="11"/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13" w:name="bookmark13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результатам рассмотрения дел</w:t>
        <w:br/>
        <w:t>№061/06/49-3519/2024</w:t>
      </w:r>
      <w:bookmarkEnd w:id="13"/>
    </w:p>
    <w:p>
      <w:pPr>
        <w:pStyle w:val="Style18"/>
        <w:keepNext w:val="0"/>
        <w:keepLines w:val="0"/>
        <w:widowControl w:val="0"/>
        <w:shd w:val="clear" w:color="auto" w:fill="auto"/>
        <w:tabs>
          <w:tab w:pos="842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03.10.2024</w:t>
        <w:tab/>
        <w:t>г. Ростов-на-Дону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 Федеральной антимонопольной службы по Ростовской области (далее - Ростовское УФАС России, Комиссия) по контролю соблюдения законодательства в сфере закупок в составе:</w:t>
      </w:r>
    </w:p>
    <w:p>
      <w:pPr>
        <w:pStyle w:val="Style18"/>
        <w:keepNext w:val="0"/>
        <w:keepLines w:val="0"/>
        <w:widowControl w:val="0"/>
        <w:shd w:val="clear" w:color="auto" w:fill="auto"/>
        <w:tabs>
          <w:tab w:pos="874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Комиссии:</w:t>
        <w:tab/>
        <w:t>С.В. Батурин,</w:t>
      </w:r>
    </w:p>
    <w:p>
      <w:pPr>
        <w:pStyle w:val="Style18"/>
        <w:keepNext w:val="0"/>
        <w:keepLines w:val="0"/>
        <w:widowControl w:val="0"/>
        <w:shd w:val="clear" w:color="auto" w:fill="auto"/>
        <w:tabs>
          <w:tab w:pos="842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  <w:tab/>
        <w:t>В.Д. Кириленко,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888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А.А. Вертий,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дело №061/06/49-3519/2024 по жалобе Заявителя о нарушении аукционной комиссией Заказчика при проведении электронного аукциона №0358300299924000094 «приобретение медицинских изделий, ввод в эксплуатацию медицинских изделий, обучение правилам эксплуатации специалистов, эксплуатирующих медицинские изделия, и специалистов, осуществляющих техническое обслуживание медицинских изделий (Стол операционный (хирургический)» (далее - аукцион) норм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- Закон), путем использования системы видеоконференц-связи (ВКС) в присутствии представителей Заявителя — Мельниковой Ю.Н. (доверенность от 01.10.2023), Парменовой Н.В. (доверенность от 01.10.2023), представителя Заказчика — Беломестновой Р.С. (доверенность от 14.06.2022),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bookmarkStart w:id="15" w:name="bookmark15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УСТАНОВИЛА:</w:t>
      </w:r>
      <w:bookmarkEnd w:id="15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Ростовское УФАС России поступила жалоба ИП Гераськиной О.В. на действия аукционной комиссии ГБУ РО «Городская больница №6» в г. Ростове-на-Дону при рассмотрении заявок на участие в аукционе.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 в возражениях на жалобу: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42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отрицал нарушения Закона в действиях аукционной комиссии;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42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разъяснил причины отклонения заявки Заявителя от участия в аукционе;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42" w:val="left"/>
        </w:tabs>
        <w:bidi w:val="0"/>
        <w:spacing w:before="0" w:after="24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представил пояснения по доводу жалобы.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ч.ч.1,3 ст.99 Закона, в ходе рассмотрения дела установлено следующее.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Заказчиком в Единой информационной системе (ЕИС) на официальном сайте </w:t>
      </w:r>
      <w:r>
        <w:fldChar w:fldCharType="begin"/>
      </w:r>
      <w:r>
        <w:rPr/>
        <w:instrText> HYPERLINK "http://www.zakupki.gov.ru/" </w:instrText>
      </w:r>
      <w:r>
        <w:fldChar w:fldCharType="separate"/>
      </w:r>
      <w:r>
        <w:rPr>
          <w:smallCaps/>
          <w:color w:val="000080"/>
          <w:spacing w:val="0"/>
          <w:w w:val="100"/>
          <w:position w:val="0"/>
          <w:sz w:val="17"/>
          <w:szCs w:val="17"/>
          <w:u w:val="single"/>
          <w:shd w:val="clear" w:color="auto" w:fill="auto"/>
          <w:lang w:val="ru-RU" w:eastAsia="ru-RU" w:bidi="ru-RU"/>
        </w:rPr>
        <w:t>\у\у\у.</w:t>
      </w:r>
      <w:r>
        <w:rPr>
          <w:color w:val="00008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 xml:space="preserve"> хакирк! .доV.^и</w:t>
      </w:r>
      <w:r>
        <w:fldChar w:fldCharType="end"/>
      </w:r>
      <w:r>
        <w:rPr>
          <w:color w:val="00008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13.09.2024 размещено извещение о проведении закупки, согласно которому: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-установлены дата и время окончания подачи заявок - 23.09.2024 09:00 (МСК);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-начальная (максимальная) цена контракта (НМЦК) составила 7 044 578, 00 рублей.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Закупка осуществляется в рамках реализации национального проекта «Здравоохранение».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протоколом подведения итогов определения поставщика (исполнителя, подрядчика) от 24.09.2024 №ИЭА1 на участие подано 2 (две) заявки, заявка Заявителя (№1082013) отклонена при следующем обосновании: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«Отклонить заявку на участие в закупке по п.8 ч.12 ст.48 №44-ФЗ «Выявление недостоверной информации, содержащейся в заявке на участие в закупке»: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Участник закупки предоставил недостоверную информацию на товар.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сайте Федеральной службы по надзору в сфере здравоохранения го^^игагпаи^ог.дог.ги размещено регистрационное удостоверение РЗН 2016/4630 от 20.06.2024, а также руководство по эксплуатации от 20.03.2024г..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Характеристики указанные в заявке не соответствуют характеристикам указанным в руководство по эксплуатации на донное медицинское изделие, а именно:</w:t>
      </w:r>
    </w:p>
    <w:p>
      <w:pPr>
        <w:pStyle w:val="Style1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44" w:val="left"/>
        </w:tabs>
        <w:bidi w:val="0"/>
        <w:spacing w:before="0" w:after="0" w:line="240" w:lineRule="auto"/>
        <w:ind w:left="0" w:right="0" w:firstLine="62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Механическая регулировка раздельной ножной секции в стороны 180 градусов (плоского угла)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в руководстве указано - Угол разведения раздельной ножной секции - не более 90 градусов;</w:t>
      </w:r>
    </w:p>
    <w:p>
      <w:pPr>
        <w:pStyle w:val="Style1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15" w:val="left"/>
        </w:tabs>
        <w:bidi w:val="0"/>
        <w:spacing w:before="0" w:after="0" w:line="240" w:lineRule="auto"/>
        <w:ind w:left="0" w:right="0" w:firstLine="62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Механическая регулировка встроенного почечного валика с высотой подъема 120 градусов (плоского угла)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в руководстве указан почечный валик как приставка для операций на почках, т.е. не является встроенной;</w:t>
      </w:r>
    </w:p>
    <w:p>
      <w:pPr>
        <w:pStyle w:val="Style1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20" w:val="left"/>
        </w:tabs>
        <w:bidi w:val="0"/>
        <w:spacing w:before="0" w:after="0" w:line="240" w:lineRule="auto"/>
        <w:ind w:left="0" w:right="0" w:firstLine="62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Большая опора с подушкой для туловища пациента (в комплекте с зажимом для тяжелых принадлежностей с квадратным сечением) 1 штуки в руководстве -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круглое сечение;</w:t>
      </w:r>
    </w:p>
    <w:p>
      <w:pPr>
        <w:pStyle w:val="Style1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20" w:val="left"/>
        </w:tabs>
        <w:bidi w:val="0"/>
        <w:spacing w:before="0" w:after="0" w:line="240" w:lineRule="auto"/>
        <w:ind w:left="0" w:right="0" w:firstLine="62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Малая опора с подушкой для туловища пациента (в комплекте с зажимом для тяжелых принадлежностей с квадратным сечением) 1 штуки в руководстве -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круглое сечение;</w:t>
      </w:r>
    </w:p>
    <w:p>
      <w:pPr>
        <w:pStyle w:val="Style1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20" w:val="left"/>
        </w:tabs>
        <w:bidi w:val="0"/>
        <w:spacing w:before="0" w:after="240" w:line="240" w:lineRule="auto"/>
        <w:ind w:left="0" w:right="0" w:firstLine="62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Опоры для плеч, усиленные, (с квадратным универсальным зажимом для большого веса и подушкой) 1 штуки в руководстве -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круглое сечение.).».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доводу жалобы, аукционная комиссия Заказчика неправомерно отклонила заявку Заявителя от участия в аукционе.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силу ч.1 ст.27 Закона участие в определении поставщиков (подрядчиков, исполнителей) может быть ограничено только в случаях, предусмотренных настоящим Федеральным законом. Отклонение заявки на участие в закупке по основаниям, не предусмотренным настоящим Федеральным законом, не допускается.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п.п. «а». п.2 ч.1 ст.43 Закона для участия в конкурентном способе заявка на участие в закупке, если иное не предусмотрено настоящим Федеральным законом, должна содержать предложение участника закупки в отношении объекта закупки: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а) с учетом положений части 2 настоящей статьи характеристики предлагаемого участником закупки товара, соответствующие показателям, установленным в описании объекта закупки в соответствии с частью 2 статьи 33 настоящего Федерального закона, товарный знак (при наличии у товара товарного знака);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в) 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настоящим Федеральным законом предусмотрена документация о закупке). Заказчик не вправе требовать представление указанных документов, если в соответствии с законодательством Российской Федерации они передаются вместе с товаром.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В соответствии с п./п.а) п.1 ч.5 ст.49 Закона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пунктом 4 части 4 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пунктами 1 - 8 части 12 статьи 48 настоящего Федерального закона.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Извещением определено, что к поставке требуется стол операционный (хирургический).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Описанием объекта закупки установлено, в том числе, следующее:</w:t>
      </w:r>
    </w:p>
    <w:tbl>
      <w:tblPr>
        <w:tblOverlap w:val="never"/>
        <w:jc w:val="center"/>
        <w:tblLayout w:type="fixed"/>
      </w:tblPr>
      <w:tblGrid>
        <w:gridCol w:w="5558"/>
        <w:gridCol w:w="1762"/>
        <w:gridCol w:w="2885"/>
      </w:tblGrid>
      <w:tr>
        <w:trPr>
          <w:trHeight w:val="3893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9"/>
              <w:keepNext w:val="0"/>
              <w:keepLines w:val="0"/>
              <w:widowControl w:val="0"/>
              <w:shd w:val="clear" w:color="auto" w:fill="auto"/>
              <w:bidi w:val="0"/>
              <w:spacing w:before="0" w:after="20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Механическая регулировка раздельной ножной секции в стороны</w:t>
            </w:r>
          </w:p>
          <w:p>
            <w:pPr>
              <w:pStyle w:val="Style29"/>
              <w:keepNext w:val="0"/>
              <w:keepLines w:val="0"/>
              <w:widowControl w:val="0"/>
              <w:shd w:val="clear" w:color="auto" w:fill="auto"/>
              <w:bidi w:val="0"/>
              <w:spacing w:before="0" w:after="20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Механическая регулировка встроенного почечного валика с высотой подъема</w:t>
            </w:r>
          </w:p>
          <w:p>
            <w:pPr>
              <w:pStyle w:val="Style29"/>
              <w:keepNext w:val="0"/>
              <w:keepLines w:val="0"/>
              <w:widowControl w:val="0"/>
              <w:shd w:val="clear" w:color="auto" w:fill="auto"/>
              <w:bidi w:val="0"/>
              <w:spacing w:before="0" w:after="200" w:line="252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Большая опора с подушкой для туловища пациента (в комплекте с зажимом для тяжелых принадлежностей с квадратным сечением) &gt; 1 штуки</w:t>
            </w:r>
          </w:p>
          <w:p>
            <w:pPr>
              <w:pStyle w:val="Style2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Малая опора с подушкой для туловища пациента (в комплекте с зажимом для тяжелых принадлежностей с квадратным сечением) &gt; 1 штуки</w:t>
            </w:r>
          </w:p>
          <w:p>
            <w:pPr>
              <w:pStyle w:val="Style2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Опоры для плеч, усиленные, (с квадратным универсальным зажимом для большого веса и подушкой) &gt;</w:t>
            </w:r>
          </w:p>
          <w:p>
            <w:pPr>
              <w:pStyle w:val="Style29"/>
              <w:keepNext w:val="0"/>
              <w:keepLines w:val="0"/>
              <w:widowControl w:val="0"/>
              <w:shd w:val="clear" w:color="auto" w:fill="auto"/>
              <w:bidi w:val="0"/>
              <w:spacing w:before="0" w:after="200" w:line="254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1 штуки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&gt; 180</w:t>
            </w:r>
          </w:p>
          <w:p>
            <w:pPr>
              <w:pStyle w:val="Style2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Градус (плоского</w:t>
            </w:r>
          </w:p>
          <w:p>
            <w:pPr>
              <w:pStyle w:val="Style2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угла)</w:t>
            </w:r>
          </w:p>
          <w:p>
            <w:pPr>
              <w:pStyle w:val="Style2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&gt; 120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Участник закупки указывает в заявке конкретное значение характеристики</w:t>
            </w:r>
          </w:p>
          <w:p>
            <w:pPr>
              <w:pStyle w:val="Style2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Участник закупки указывает в заявке конкретное значение характеристики</w:t>
            </w:r>
          </w:p>
          <w:p>
            <w:pPr>
              <w:pStyle w:val="Style29"/>
              <w:keepNext w:val="0"/>
              <w:keepLines w:val="0"/>
              <w:widowControl w:val="0"/>
              <w:shd w:val="clear" w:color="auto" w:fill="auto"/>
              <w:bidi w:val="0"/>
              <w:spacing w:before="0" w:after="200" w:line="252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Участник закупки указывает в заявке конкретное значение характеристики</w:t>
            </w:r>
          </w:p>
          <w:p>
            <w:pPr>
              <w:pStyle w:val="Style2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Участник закупки указывает в заявке конкретное значение характеристики</w:t>
            </w:r>
          </w:p>
          <w:p>
            <w:pPr>
              <w:pStyle w:val="Style2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Участник закупки указывает в заявке конкретное значение характеристики</w:t>
            </w:r>
          </w:p>
        </w:tc>
      </w:tr>
    </w:tbl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Учитывая указанные положения извещения, Заказчик определил перечень характеристик приобретаемого товара и их значения.</w:t>
      </w:r>
    </w:p>
    <w:p>
      <w:pPr>
        <w:widowControl w:val="0"/>
        <w:spacing w:after="159" w:line="1" w:lineRule="exact"/>
      </w:pP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Обозрев заявку, представленную Оператором, установлено, что Заявителем к поставке предложен многофункциональный хирургический стол с системой приводов (МХСсСП) по ТУ 9452-044-39798422-2020, производитель ООО «Фирма «ВИПС-МЕД», Россия.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составе заявки представлено регистрационное удостоверение РЗН 2016/4630 от 20.06.2024, продекларированы следующие характеристики предлагаемого товара:</w:t>
      </w:r>
    </w:p>
    <w:p>
      <w:pPr>
        <w:pStyle w:val="Style1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86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Механическая регулировка раздельной ножной секции в стороны — 180 Градус (плоского угла);</w:t>
      </w:r>
    </w:p>
    <w:p>
      <w:pPr>
        <w:pStyle w:val="Style1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57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Механическая регулировка встроенного почечного валика с высотой подъема — 120 Градус (плоского угла);</w:t>
      </w:r>
    </w:p>
    <w:p>
      <w:pPr>
        <w:pStyle w:val="Style1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76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Большая опора с подушкой для туловища пациента (в комплекте с зажимом для тяжелых принадлежностей с квадратным сечением) 1 штуки;</w:t>
      </w:r>
    </w:p>
    <w:p>
      <w:pPr>
        <w:pStyle w:val="Style1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76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Малая опора с подушкой для туловища пациента (в комплекте с зажимом для тяжелых принадлежностей с квадратным сечением) 1 штуки;</w:t>
      </w:r>
    </w:p>
    <w:p>
      <w:pPr>
        <w:pStyle w:val="Style1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76" w:val="left"/>
        </w:tabs>
        <w:bidi w:val="0"/>
        <w:spacing w:before="0" w:after="24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Опоры для плеч, усиленные, (с квадратным универсальным зажимом для большого веса и подушкой) 1 штуки.</w:t>
      </w:r>
    </w:p>
    <w:p>
      <w:pPr>
        <w:pStyle w:val="Style18"/>
        <w:keepNext w:val="0"/>
        <w:keepLines w:val="0"/>
        <w:widowControl w:val="0"/>
        <w:numPr>
          <w:ilvl w:val="1"/>
          <w:numId w:val="7"/>
        </w:numPr>
        <w:shd w:val="clear" w:color="auto" w:fill="auto"/>
        <w:tabs>
          <w:tab w:pos="1099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анализе руководства по эксплуатации на предлагаемое к поставке изделие, размещенного на официальном сайте Федеральной службы по надзору в сфере здравоохранения РФ (</w:t>
      </w:r>
      <w:r>
        <w:fldChar w:fldCharType="begin"/>
      </w:r>
      <w:r>
        <w:rPr/>
        <w:instrText> HYPERLINK "https://roszdravnadzor.gov.ru/" </w:instrText>
      </w:r>
      <w:r>
        <w:fldChar w:fldCharType="separate"/>
      </w:r>
      <w:r>
        <w:rPr>
          <w:color w:val="00008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Ьйр8://го82&amp;аупад2ОЕдо^ш/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) установлено, что угол разведения раздельной ножной секции хирургического стола составляет «не более 90 градусов» (стр.14), соответственно, суммарная регулировка разведения в стороны раздельных секций (левой и правой) составляет 180 градусов.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Требование о том, что каждая ножная секция должна иметь угол разведения равный 90 градусов подтвержден Заказчиком в ходе заседания Комиссии.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связи с чем, заявка Заявителя по указанной характеристике полностью соответствует требованию извещения, руководству по эксплуатации.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Комиссией отмечен вариативный подход аукционной комиссии Заказчика к рассмотрению заявок. Так, заявка Заявителя отклонена за недостоверность информации, при этом, заявка второго участника признана соответствующей, в то время как согласно руководству по эксплуатации разведение раздельных ножных секций (левой и правой) также составляет 90 градусов.</w:t>
      </w:r>
    </w:p>
    <w:p>
      <w:pPr>
        <w:pStyle w:val="Style18"/>
        <w:keepNext w:val="0"/>
        <w:keepLines w:val="0"/>
        <w:widowControl w:val="0"/>
        <w:numPr>
          <w:ilvl w:val="1"/>
          <w:numId w:val="7"/>
        </w:numPr>
        <w:shd w:val="clear" w:color="auto" w:fill="auto"/>
        <w:tabs>
          <w:tab w:pos="1099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разделу 3 руководства по эксплуатации «Состав МХСсСП» (п.3.1 Основные составные части) в состав хирургического стола входит, в том числе, почечный валик (опция).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Таим образом, производителем товара определена возможность производства (поставки) товара с различными опциями, которые представлены на стр.8 руководства.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этом, из руководства по эксплуатации не следует, что в случае закупки товара с данной опцией почечный валик не будет встроенным.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Также на стр. 7.8.1 руководства указано, что поднятие и опускание почечного валика осуществляется 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механически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с помощью специальной ручки (рис. 22), которая устанавливается в боковое окошко полиуретановой подушки почечного валика (справа или слева) 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или с пульта управления,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что опровергает довод Заказчика о регулировке валика исключительно с помощью пульта управления.</w:t>
      </w:r>
    </w:p>
    <w:p>
      <w:pPr>
        <w:pStyle w:val="Style18"/>
        <w:keepNext w:val="0"/>
        <w:keepLines w:val="0"/>
        <w:widowControl w:val="0"/>
        <w:numPr>
          <w:ilvl w:val="1"/>
          <w:numId w:val="7"/>
        </w:numPr>
        <w:shd w:val="clear" w:color="auto" w:fill="auto"/>
        <w:tabs>
          <w:tab w:pos="1099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 полагает, что хирургический стол, предложенный к поставке Заявителем имеет зажимы с круглыми сечениями. В качестве обоснования представлены фотографические изображения на стр. 40, 46, 50-51 руководства.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Комиссией установлено, что в руководстве по эксплуатации представлено несколько видов зажимов (стр.118-120). Основываясь на данной информации не представляется возможным сделать однозначный вывод, что только указываемый Заказчиком зажим (с круглым сечением) может использоваться с предлагаемым медицинским изделием.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Ростовского УФАС России считает необходимым отметить, что под недостоверными сведениями следует понимать сведения, не соответствующие действительности.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свою очередь, исходя из правовой позиции Верховного Суда Российской Федерации, изложенной в постановлении от 24.02.2005 № 3 «О судебной практике по делам о защите чести и достоинства граждан, а также деловой репутации граждан и юридических лиц», под не соответствующими действительности сведениями понимаются утверждения о фактах или событиях, которые не имели места в реальности во время, к которому относятся оспариваемые сведения (п.7).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Кроме того, предоставленное заказчику право отклонить поданную заявку в случае обнаружения в ней недостоверных сведений свидетельствует о том, что располагать такой информацией заказчик должен непосредственно на момент принятия соответствующего решения, причем располагать именно доказательствами такой недостоверности, но не руководствоваться предположениями.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как следует из материалов дела, поданная Заявителем заявка в части оспариваемых сведений требованиям извещения соответствовала. Каких-либо оснований сомневаться в достоверности представленных в ней сведений в контексте ч.5 ст.10 Гражданского кодекса Российской Федерации (ГК РФ) (в силу которой добросовестность участников гражданских правоотношений и разумность их действий предполагаются) у Заказчика не имелось, неопровержимыми доказательствами недостоверности таких сведений последний не располагал. Доказательств обратного представителем Заказчика не представлено.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то же время, как следует из материалов дела в настоящем случае, такого подтверждения в материалы дела не представлено, а потому правовых оснований к отклонению заявки участника у комиссии Заказчика не имелось, вопреки утверждению представителя Заказчика об обратном.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 учетом изложенного, в действиях аукционной комиссии Заказчика установлено нарушение ч.1 ст.27 Закона, довод жалобы — обоснован.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Постановления Правительства Российской Федерации от 26.08.2013 г. №728, в соответствии со ст.ст. 99,106 Закона,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bookmarkStart w:id="17" w:name="bookmark17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РЕШИЛА:</w:t>
      </w:r>
      <w:bookmarkEnd w:id="17"/>
    </w:p>
    <w:p>
      <w:pPr>
        <w:pStyle w:val="Style18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715" w:val="left"/>
        </w:tabs>
        <w:bidi w:val="0"/>
        <w:spacing w:before="0" w:after="0" w:line="240" w:lineRule="auto"/>
        <w:ind w:left="0" w:right="0" w:firstLine="3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Признать жалобу Заявителя обоснованной.</w:t>
      </w:r>
    </w:p>
    <w:p>
      <w:pPr>
        <w:pStyle w:val="Style18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715" w:val="left"/>
        </w:tabs>
        <w:bidi w:val="0"/>
        <w:spacing w:before="0" w:after="0" w:line="240" w:lineRule="auto"/>
        <w:ind w:left="0" w:right="0" w:firstLine="3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Признать аукционную комиссию Заказчика нарушившей ч.1 ст.27.</w:t>
      </w:r>
    </w:p>
    <w:p>
      <w:pPr>
        <w:pStyle w:val="Style18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715" w:val="left"/>
        </w:tabs>
        <w:bidi w:val="0"/>
        <w:spacing w:before="0" w:after="0" w:line="240" w:lineRule="auto"/>
        <w:ind w:left="0" w:right="0" w:firstLine="3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Выдать Заказчику, комиссии Заказчика обязательное для исполнения предписание об устранении допущенных нарушений путем отмены протокола подведения итогов электронного аукциона, назначении новой даты рассмотрения заявок, пересмотре заявок.</w:t>
      </w:r>
    </w:p>
    <w:p>
      <w:pPr>
        <w:pStyle w:val="Style18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715" w:val="left"/>
        </w:tabs>
        <w:bidi w:val="0"/>
        <w:spacing w:before="0" w:after="240" w:line="240" w:lineRule="auto"/>
        <w:ind w:left="0" w:right="0" w:firstLine="3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Рассмотреть вопрос о привлечении виновных должностных лиц к административной ответственности.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ч.9 ст.106 Закона решение может быть обжаловано в судебном порядке в течение трех месяцев со дня его принятия.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fldChar w:fldCharType="begin"/>
      </w:r>
      <w:r>
        <w:rPr/>
        <w:instrText> HYPERLINK "https://www.consultant.ru/document/cons_doc_LAW_482981/d6aec91603ff628ea274b8552ce2849e06e0aa4c/%23dst2234"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</w:t>
      </w:r>
      <w:r>
        <w:fldChar w:fldCharType="end"/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fldChar w:fldCharType="begin"/>
      </w:r>
      <w:r>
        <w:rPr/>
        <w:instrText> HYPERLINK "https://www.consultant.ru/document/cons_doc_LAW_482981/d6aec91603ff628ea274b8552ce2849e06e0aa4c/%23dst2234"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С.В. Батурин</w:t>
      </w:r>
      <w:r>
        <w:fldChar w:fldCharType="end"/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160" w:line="180" w:lineRule="auto"/>
        <w:ind w:right="0" w:firstLine="0"/>
        <w:jc w:val="left"/>
        <w:rPr>
          <w:sz w:val="24"/>
          <w:szCs w:val="24"/>
        </w:rPr>
      </w:pPr>
      <w:r>
        <w:rPr>
          <w:b w:val="0"/>
          <w:bCs w:val="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Мест дня ।юдхшеи:</w:t>
      </w:r>
    </w:p>
    <w:p>
      <w:pPr>
        <w:pStyle w:val="Style35"/>
        <w:keepNext/>
        <w:keepLines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bookmarkStart w:id="19" w:name="bookmark19"/>
      <w:r>
        <w:rPr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Батурин С- В.</w:t>
      </w:r>
      <w:bookmarkEnd w:id="19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fldChar w:fldCharType="begin"/>
      </w:r>
      <w:r>
        <w:rPr/>
        <w:instrText> HYPERLINK "https://www.consultant.ru/document/cons_doc_LAW_482981/d6aec91603ff628ea274b8552ce2849e06e0aa4c/%23dst2234"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</w:r>
      <w:r>
        <w:fldChar w:fldCharType="end"/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В.Д. Кириленко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100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Мест для подписи:</w:t>
      </w:r>
    </w:p>
    <w:p>
      <w:pPr>
        <w:pStyle w:val="Style35"/>
        <w:keepNext/>
        <w:keepLines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bookmarkStart w:id="21" w:name="bookmark21"/>
      <w:r>
        <w:rPr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Кириленко В. Д.</w:t>
      </w:r>
      <w:bookmarkEnd w:id="21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А.А. Вертий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100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Мест для подписи:</w:t>
      </w:r>
    </w:p>
    <w:p>
      <w:pPr>
        <w:pStyle w:val="Style35"/>
        <w:keepNext/>
        <w:keepLines/>
        <w:widowControl w:val="0"/>
        <w:shd w:val="clear" w:color="auto" w:fill="auto"/>
        <w:bidi w:val="0"/>
        <w:spacing w:before="0" w:after="3840" w:line="240" w:lineRule="auto"/>
        <w:ind w:right="0" w:firstLine="0"/>
        <w:jc w:val="left"/>
      </w:pPr>
      <w:bookmarkStart w:id="23" w:name="bookmark23"/>
      <w:r>
        <w:rPr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ЕерТий А. А.</w:t>
      </w:r>
      <w:bookmarkEnd w:id="23"/>
    </w:p>
    <w:p>
      <w:pPr>
        <w:pStyle w:val="Style3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Исп.Вертий А.А.</w:t>
      </w:r>
    </w:p>
    <w:p>
      <w:pPr>
        <w:pStyle w:val="Style3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тел.(863) 240-86-88, вн.061-132</w:t>
      </w:r>
    </w:p>
    <w:sectPr>
      <w:footerReference w:type="default" r:id="rId11"/>
      <w:footerReference w:type="first" r:id="rId12"/>
      <w:footnotePr>
        <w:pos w:val="pageBottom"/>
        <w:numFmt w:val="decimal"/>
        <w:numRestart w:val="continuous"/>
      </w:footnotePr>
      <w:pgSz w:w="11900" w:h="16840"/>
      <w:pgMar w:top="1014" w:right="529" w:bottom="1208" w:left="1089" w:header="0" w:footer="3" w:gutter="0"/>
      <w:pgNumType w:start="1"/>
      <w:cols w:space="720"/>
      <w:noEndnote/>
      <w:titlePg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730885</wp:posOffset>
              </wp:positionH>
              <wp:positionV relativeFrom="page">
                <wp:posOffset>9996170</wp:posOffset>
              </wp:positionV>
              <wp:extent cx="3267710" cy="10033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26771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5146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2024-19837</w:t>
                            <w:tab/>
                          </w: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7.550000000000004pt;margin-top:787.10000000000002pt;width:257.30000000000001pt;height:7.9000000000000004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514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2024-19837</w:t>
                      <w:tab/>
                    </w: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9990455</wp:posOffset>
              </wp:positionV>
              <wp:extent cx="725170" cy="10033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2024-19837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56.75pt;margin-top:786.64999999999998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2024-19837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decimal"/>
      <w:lvlText w:val="%1."/>
    </w:lvl>
    <w:lvl w:ilvl="1">
      <w:start w:val="1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8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7">
    <w:name w:val="Основной текст (3)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2A3"/>
      <w:sz w:val="16"/>
      <w:szCs w:val="16"/>
      <w:u w:val="none"/>
    </w:rPr>
  </w:style>
  <w:style w:type="character" w:customStyle="1" w:styleId="CharStyle9">
    <w:name w:val="Основной текст (6)_"/>
    <w:basedOn w:val="DefaultParagraphFont"/>
    <w:link w:val="Style8"/>
    <w:rPr>
      <w:rFonts w:ascii="Arial" w:eastAsia="Arial" w:hAnsi="Arial" w:cs="Arial"/>
      <w:b/>
      <w:bCs/>
      <w:i w:val="0"/>
      <w:iCs w:val="0"/>
      <w:smallCaps w:val="0"/>
      <w:strike w:val="0"/>
      <w:color w:val="202020"/>
      <w:sz w:val="10"/>
      <w:szCs w:val="10"/>
      <w:u w:val="none"/>
    </w:rPr>
  </w:style>
  <w:style w:type="character" w:customStyle="1" w:styleId="CharStyle12">
    <w:name w:val="Подпись к картинке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2A3"/>
      <w:sz w:val="19"/>
      <w:szCs w:val="19"/>
      <w:u w:val="none"/>
    </w:rPr>
  </w:style>
  <w:style w:type="character" w:customStyle="1" w:styleId="CharStyle14">
    <w:name w:val="Заголовок №2_"/>
    <w:basedOn w:val="DefaultParagraphFont"/>
    <w:link w:val="Style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16">
    <w:name w:val="Колонтитул (2)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9">
    <w:name w:val="Основной текст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7">
    <w:name w:val="Подпись к таблице_"/>
    <w:basedOn w:val="DefaultParagraphFont"/>
    <w:link w:val="Style2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30">
    <w:name w:val="Другое_"/>
    <w:basedOn w:val="DefaultParagraphFont"/>
    <w:link w:val="Style2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33">
    <w:name w:val="Основной текст (4)_"/>
    <w:basedOn w:val="DefaultParagraphFont"/>
    <w:link w:val="Style32"/>
    <w:rPr>
      <w:rFonts w:ascii="Arial" w:eastAsia="Arial" w:hAnsi="Arial" w:cs="Arial"/>
      <w:b/>
      <w:bCs/>
      <w:i w:val="0"/>
      <w:iCs w:val="0"/>
      <w:smallCaps w:val="0"/>
      <w:strike w:val="0"/>
      <w:color w:val="898989"/>
      <w:sz w:val="22"/>
      <w:szCs w:val="22"/>
      <w:u w:val="none"/>
    </w:rPr>
  </w:style>
  <w:style w:type="character" w:customStyle="1" w:styleId="CharStyle36">
    <w:name w:val="Заголовок №1_"/>
    <w:basedOn w:val="DefaultParagraphFont"/>
    <w:link w:val="Style35"/>
    <w:rPr>
      <w:rFonts w:ascii="Arial" w:eastAsia="Arial" w:hAnsi="Arial" w:cs="Arial"/>
      <w:b/>
      <w:bCs/>
      <w:i w:val="0"/>
      <w:iCs w:val="0"/>
      <w:smallCaps w:val="0"/>
      <w:strike w:val="0"/>
      <w:color w:val="898989"/>
      <w:u w:val="none"/>
    </w:rPr>
  </w:style>
  <w:style w:type="character" w:customStyle="1" w:styleId="CharStyle38">
    <w:name w:val="Основной текст (5)_"/>
    <w:basedOn w:val="DefaultParagraphFont"/>
    <w:link w:val="Style3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12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6">
    <w:name w:val="Основной текст (3)"/>
    <w:basedOn w:val="Normal"/>
    <w:link w:val="CharStyle7"/>
    <w:pPr>
      <w:widowControl w:val="0"/>
      <w:shd w:val="clear" w:color="auto" w:fill="auto"/>
      <w:spacing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2A3"/>
      <w:sz w:val="16"/>
      <w:szCs w:val="16"/>
      <w:u w:val="none"/>
    </w:rPr>
  </w:style>
  <w:style w:type="paragraph" w:customStyle="1" w:styleId="Style8">
    <w:name w:val="Основной текст (6)"/>
    <w:basedOn w:val="Normal"/>
    <w:link w:val="CharStyle9"/>
    <w:pPr>
      <w:widowControl w:val="0"/>
      <w:shd w:val="clear" w:color="auto" w:fill="auto"/>
      <w:ind w:firstLine="140"/>
    </w:pPr>
    <w:rPr>
      <w:rFonts w:ascii="Arial" w:eastAsia="Arial" w:hAnsi="Arial" w:cs="Arial"/>
      <w:b/>
      <w:bCs/>
      <w:i w:val="0"/>
      <w:iCs w:val="0"/>
      <w:smallCaps w:val="0"/>
      <w:strike w:val="0"/>
      <w:color w:val="202020"/>
      <w:sz w:val="10"/>
      <w:szCs w:val="10"/>
      <w:u w:val="none"/>
    </w:rPr>
  </w:style>
  <w:style w:type="paragraph" w:customStyle="1" w:styleId="Style11">
    <w:name w:val="Подпись к картинке"/>
    <w:basedOn w:val="Normal"/>
    <w:link w:val="CharStyle1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2A3"/>
      <w:sz w:val="19"/>
      <w:szCs w:val="19"/>
      <w:u w:val="none"/>
    </w:rPr>
  </w:style>
  <w:style w:type="paragraph" w:customStyle="1" w:styleId="Style13">
    <w:name w:val="Заголовок №2"/>
    <w:basedOn w:val="Normal"/>
    <w:link w:val="CharStyle14"/>
    <w:pPr>
      <w:widowControl w:val="0"/>
      <w:shd w:val="clear" w:color="auto" w:fill="auto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15">
    <w:name w:val="Колонтитул (2)"/>
    <w:basedOn w:val="Normal"/>
    <w:link w:val="CharStyle1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8">
    <w:name w:val="Основной текст"/>
    <w:basedOn w:val="Normal"/>
    <w:link w:val="CharStyle19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6">
    <w:name w:val="Подпись к таблице"/>
    <w:basedOn w:val="Normal"/>
    <w:link w:val="CharStyle27"/>
    <w:pPr>
      <w:widowControl w:val="0"/>
      <w:shd w:val="clear" w:color="auto" w:fill="auto"/>
      <w:ind w:firstLine="5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9">
    <w:name w:val="Другое"/>
    <w:basedOn w:val="Normal"/>
    <w:link w:val="CharStyle30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32">
    <w:name w:val="Основной текст (4)"/>
    <w:basedOn w:val="Normal"/>
    <w:link w:val="CharStyle33"/>
    <w:pPr>
      <w:widowControl w:val="0"/>
      <w:shd w:val="clear" w:color="auto" w:fill="auto"/>
      <w:spacing w:after="130" w:line="262" w:lineRule="auto"/>
      <w:ind w:left="3380"/>
    </w:pPr>
    <w:rPr>
      <w:rFonts w:ascii="Arial" w:eastAsia="Arial" w:hAnsi="Arial" w:cs="Arial"/>
      <w:b/>
      <w:bCs/>
      <w:i w:val="0"/>
      <w:iCs w:val="0"/>
      <w:smallCaps w:val="0"/>
      <w:strike w:val="0"/>
      <w:color w:val="898989"/>
      <w:sz w:val="22"/>
      <w:szCs w:val="22"/>
      <w:u w:val="none"/>
    </w:rPr>
  </w:style>
  <w:style w:type="paragraph" w:customStyle="1" w:styleId="Style35">
    <w:name w:val="Заголовок №1"/>
    <w:basedOn w:val="Normal"/>
    <w:link w:val="CharStyle36"/>
    <w:pPr>
      <w:widowControl w:val="0"/>
      <w:shd w:val="clear" w:color="auto" w:fill="auto"/>
      <w:spacing w:after="2210"/>
      <w:ind w:left="3380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color w:val="898989"/>
      <w:u w:val="none"/>
    </w:rPr>
  </w:style>
  <w:style w:type="paragraph" w:customStyle="1" w:styleId="Style37">
    <w:name w:val="Основной текст (5)"/>
    <w:basedOn w:val="Normal"/>
    <w:link w:val="CharStyle38"/>
    <w:pPr>
      <w:widowControl w:val="0"/>
      <w:shd w:val="clear" w:color="auto" w:fill="auto"/>
      <w:spacing w:after="1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footer" Target="footer1.xml"/><Relationship Id="rId12" Type="http://schemas.openxmlformats.org/officeDocument/2006/relationships/footer" Target="footer2.xml"/></Relationships>
</file>