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2"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04.10.2024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41104/24</w:t>
      </w:r>
      <w:bookmarkEnd w:id="0"/>
    </w:p>
    <w:p>
      <w:pPr>
        <w:widowControl w:val="0"/>
        <w:jc w:val="center"/>
        <w:rPr>
          <w:sz w:val="2"/>
          <w:szCs w:val="2"/>
        </w:rPr>
      </w:pPr>
      <w:r>
        <w:drawing>
          <wp:inline>
            <wp:extent cx="2597150" cy="701040"/>
            <wp:docPr id="7" name="Picutre 7"/>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pic:blipFill>
                  <pic:spPr>
                    <a:xfrm>
                      <a:ext cx="2597150" cy="701040"/>
                    </a:xfrm>
                    <a:prstGeom prst="rect"/>
                  </pic:spPr>
                </pic:pic>
              </a:graphicData>
            </a:graphic>
          </wp:inline>
        </w:drawing>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 Социальный дом «Вешняки»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рт26-д/@8ОС1а1.то8.П1</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ООО «Ремстрой»</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геет8818@тай.ги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395" w:bottom="592" w:left="1269" w:header="0" w:footer="3" w:gutter="0"/>
          <w:cols w:num="2" w:space="1037"/>
          <w:noEndnote/>
          <w:rtlGutter w:val="0"/>
          <w:docGrid w:linePitch="360"/>
        </w:sectPr>
      </w:pPr>
      <w:r>
        <w:rPr>
          <w:color w:val="000000"/>
          <w:spacing w:val="0"/>
          <w:w w:val="100"/>
          <w:position w:val="0"/>
          <w:shd w:val="clear" w:color="auto" w:fill="auto"/>
          <w:lang w:val="ru-RU" w:eastAsia="ru-RU" w:bidi="ru-RU"/>
        </w:rPr>
        <w:t>ко@го8екогд.ги</w:t>
      </w:r>
    </w:p>
    <w:p>
      <w:pPr>
        <w:widowControl w:val="0"/>
        <w:spacing w:line="15" w:lineRule="exact"/>
        <w:rPr>
          <w:sz w:val="2"/>
          <w:szCs w:val="2"/>
        </w:rPr>
      </w:pPr>
    </w:p>
    <w:p>
      <w:pPr>
        <w:widowControl w:val="0"/>
        <w:spacing w:line="1" w:lineRule="exact"/>
        <w:sectPr>
          <w:footnotePr>
            <w:pos w:val="pageBottom"/>
            <w:numFmt w:val="decimal"/>
            <w:numRestart w:val="continuous"/>
          </w:footnotePr>
          <w:type w:val="continuous"/>
          <w:pgSz w:w="11900" w:h="16840"/>
          <w:pgMar w:top="1105" w:right="0" w:bottom="677"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№077/06/106-13491/2024 о нарушении</w:t>
        <w:br/>
        <w:t>законодательства о контрактной системе</w:t>
        <w:br/>
        <w:t>02.10.2024</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 ГБУ Социальный дом «Вешняки»: Максимовой О.А. (дов.№1557 от 01.10.2024), Марфиной О.Ю. (дов.№1558 от 01.10.2024),</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«Ремстрой»,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12"/>
        <w:keepNext w:val="0"/>
        <w:keepLines w:val="0"/>
        <w:widowControl w:val="0"/>
        <w:shd w:val="clear" w:color="auto" w:fill="auto"/>
        <w:bidi w:val="0"/>
        <w:spacing w:before="0" w:after="480" w:line="240" w:lineRule="auto"/>
        <w:ind w:left="0" w:right="0" w:firstLine="700"/>
        <w:jc w:val="both"/>
      </w:pPr>
      <w:r>
        <w:rPr>
          <w:color w:val="000000"/>
          <w:spacing w:val="0"/>
          <w:w w:val="100"/>
          <w:position w:val="0"/>
          <w:shd w:val="clear" w:color="auto" w:fill="auto"/>
          <w:lang w:val="ru-RU" w:eastAsia="ru-RU" w:bidi="ru-RU"/>
        </w:rPr>
        <w:t>рассмотрев жалобу ООО «Ремстрой» (далее — Заявитель) на действия ГБУ Социальный дом «Вешняки» (далее — Заказчик) при проведении запроса котировок в электронной форме на право заключения государственного контракта на установку шлагбаума (Закупка № 0373200117724000049) (далее - запрос котировок)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111111111111111111111</w:t>
      </w:r>
      <w:bookmarkEnd w:id="2"/>
    </w:p>
    <w:p>
      <w:pPr>
        <w:pStyle w:val="Style12"/>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в нарушение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в рамках обжалуемой закупки Заказчиком закупаются услуги по монтажу оборудования «Шлагбаум», при этом даннное оборудование является используемыми при оказании вышеуказанных услуг и не подлежат поставке в рамках заключаемого по результатам закупочной процедуры контракта, ввиду чего извещение об осуществлению закупки сформировано Заказчиком в нарушение Закона о контрактной системе, так как содержит требования и условия, подлежащие установлению исключительно в случае поставки товара.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частности Заявитель указывает, что в Заказчиком неправомерно установлено требование о необходимости предоставления в составе заявки на участие в закупке сведений о характеристиках товара, товарном знаке, стране происхождения товара, документов, подтверждающих соответствие товара, работы или услуги требованиям, установленным в соответствии с законодательством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Помимо этого, в обоснование своей позиции, Заявитель указывает, что в извещении об осуществлении закупки, описании объекта закупки Заказчиком в нарушение ст.34 Закона о контрактной системе, в составе извещения, в том числе в проекте контракта, отсутствуют положения о порядке и сроках приемки поставляемого товара, подлежащие установлению в случае, если контрактом предусмотрена поставка товара.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наименование объекта закупки определено Заказчиком как: «Установка шлагбаума».</w:t>
      </w:r>
    </w:p>
    <w:p>
      <w:pPr>
        <w:pStyle w:val="Style12"/>
        <w:keepNext w:val="0"/>
        <w:keepLines w:val="0"/>
        <w:widowControl w:val="0"/>
        <w:shd w:val="clear" w:color="auto" w:fill="auto"/>
        <w:bidi w:val="0"/>
        <w:spacing w:before="0" w:after="0" w:line="29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в том числе указано:</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«2.1 Подрядчик обязуется выполнить монтаж (далее - работы)</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оборудования системы контроля и управления доступом (далее - оборудование) в соответствии с Приложением 1 «Перечень объектов закупки» к настоящему Техническому заданию в порядке и на условиях, предусмотренных Контрактом и настоящим Техническим заданием, а также в соответствии с требованиями актов, указанных в разделе 7 настоящего Технического задания.»;</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«2.18 Все материалы и оборудование, поставляемые в рамках</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выполнения работ, подлежат входному контролю с участием представителей Подрядчика и Заказчика. В рамках входного контроля проверяются качество, количество и характеристики поступающих на объект строительных материалов и изделий на соответствие предъявляемым к ним требованиям настоящего Технического задания, стандартов, сертификатов и других необходимых документов, отражающих их свойства, в соответствии с требованиями акта, указанного в пункте 7.28 настоящего Технического задания».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в Приложении № 1 к техническому заданию «Перечень объектов закупки» также содержится указание на работы «Монтаж оборудования системы контроля и управления доступом»:</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«Вид работы: Монтаж»;</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«Оборудование предоставляется Заказчиком: Нет»;</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«Вид устройства преграждающего управляемого: Шлагбаум»;</w:t>
      </w:r>
    </w:p>
    <w:p>
      <w:pPr>
        <w:pStyle w:val="Style12"/>
        <w:keepNext w:val="0"/>
        <w:keepLines w:val="0"/>
        <w:widowControl w:val="0"/>
        <w:numPr>
          <w:ilvl w:val="0"/>
          <w:numId w:val="1"/>
        </w:numPr>
        <w:shd w:val="clear" w:color="auto" w:fill="auto"/>
        <w:tabs>
          <w:tab w:pos="1422" w:val="left"/>
          <w:tab w:pos="1439" w:val="left"/>
        </w:tabs>
        <w:bidi w:val="0"/>
        <w:spacing w:before="0" w:after="0"/>
        <w:ind w:left="0" w:right="0" w:firstLine="700"/>
        <w:jc w:val="both"/>
      </w:pPr>
      <w:r>
        <w:rPr>
          <w:color w:val="000000"/>
          <w:spacing w:val="0"/>
          <w:w w:val="100"/>
          <w:position w:val="0"/>
          <w:shd w:val="clear" w:color="auto" w:fill="auto"/>
          <w:lang w:val="ru-RU" w:eastAsia="ru-RU" w:bidi="ru-RU"/>
        </w:rPr>
        <w:t>«Требования к оборудованию: Антивандальное исполнение».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12"/>
        <w:keepNext w:val="0"/>
        <w:keepLines w:val="0"/>
        <w:widowControl w:val="0"/>
        <w:shd w:val="clear" w:color="auto" w:fill="auto"/>
        <w:bidi w:val="0"/>
        <w:spacing w:before="0" w:after="0" w:line="324"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силу ч.1 ст.34 Закона о контрактной системе контракт заключается на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ч.13 ст.34 Закона о контрактной системе в контракт включаются в том числе обязательные условия о порядке и сроках оплаты товара, работы или услуги, в том числе с учетом положений ч.13 ст.37 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Закона о контрактной системе требования обеспечения гарантийных обязательств.</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 4.1 проекта контракта определено: «Подрядчик в срок не позднее в день выполнения работ после окончания завершения выполнения работ, представляет Заказчику комплект отчетной документации , предусмотренной Техническим заданием,и электронный структурированный Документ о приемке, подписанные Подрядчиком».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2"/>
        <w:keepNext w:val="0"/>
        <w:keepLines w:val="0"/>
        <w:widowControl w:val="0"/>
        <w:shd w:val="clear" w:color="auto" w:fill="auto"/>
        <w:bidi w:val="0"/>
        <w:spacing w:before="0" w:after="0" w:line="290" w:lineRule="auto"/>
        <w:ind w:left="0" w:right="0" w:firstLine="700"/>
        <w:jc w:val="both"/>
        <w:rPr>
          <w:sz w:val="24"/>
          <w:szCs w:val="24"/>
        </w:rPr>
        <w:sectPr>
          <w:footnotePr>
            <w:pos w:val="pageBottom"/>
            <w:numFmt w:val="decimal"/>
            <w:numRestart w:val="continuous"/>
          </w:footnotePr>
          <w:type w:val="continuous"/>
          <w:pgSz w:w="11900" w:h="16840"/>
          <w:pgMar w:top="1105" w:right="536" w:bottom="677" w:left="1102"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п.7 Правил использования КТРУ в случае осуществления закупки товара, работы, услуги, в отношении которых в каталоге отсутствуют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структурированной форме извещения Заказчиком определены требования к характеристикам необходимого оборудования«Шлагбаум», при этом подразделе «Инструкция по заполнению характеристики в заявке» установлено требование о необходимости представления сведений о характеристиках оборудования, определена инструкция по заполнению заявки, например:</w:t>
      </w:r>
    </w:p>
    <w:p>
      <w:pPr>
        <w:pStyle w:val="Style12"/>
        <w:keepNext w:val="0"/>
        <w:keepLines w:val="0"/>
        <w:widowControl w:val="0"/>
        <w:numPr>
          <w:ilvl w:val="0"/>
          <w:numId w:val="3"/>
        </w:numPr>
        <w:shd w:val="clear" w:color="auto" w:fill="auto"/>
        <w:tabs>
          <w:tab w:pos="1421" w:val="left"/>
          <w:tab w:pos="143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«Наименование характеристики: Длина стрелы»;</w:t>
      </w:r>
    </w:p>
    <w:p>
      <w:pPr>
        <w:pStyle w:val="Style12"/>
        <w:keepNext w:val="0"/>
        <w:keepLines w:val="0"/>
        <w:widowControl w:val="0"/>
        <w:numPr>
          <w:ilvl w:val="0"/>
          <w:numId w:val="3"/>
        </w:numPr>
        <w:shd w:val="clear" w:color="auto" w:fill="auto"/>
        <w:tabs>
          <w:tab w:pos="142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«Значение характеристики: &gt; 5 и &lt; 6»;</w:t>
      </w:r>
    </w:p>
    <w:p>
      <w:pPr>
        <w:pStyle w:val="Style12"/>
        <w:keepNext w:val="0"/>
        <w:keepLines w:val="0"/>
        <w:widowControl w:val="0"/>
        <w:numPr>
          <w:ilvl w:val="0"/>
          <w:numId w:val="3"/>
        </w:numPr>
        <w:shd w:val="clear" w:color="auto" w:fill="auto"/>
        <w:tabs>
          <w:tab w:pos="1421" w:val="left"/>
          <w:tab w:pos="143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«Единица измерения характеристики: Метр»;</w:t>
      </w:r>
    </w:p>
    <w:p>
      <w:pPr>
        <w:pStyle w:val="Style12"/>
        <w:keepNext w:val="0"/>
        <w:keepLines w:val="0"/>
        <w:widowControl w:val="0"/>
        <w:numPr>
          <w:ilvl w:val="0"/>
          <w:numId w:val="3"/>
        </w:numPr>
        <w:shd w:val="clear" w:color="auto" w:fill="auto"/>
        <w:tabs>
          <w:tab w:pos="1421"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«Инструкция по заполнению характеристики в заявке: Участник закупки указывает в заявке конкретное значение характеристики».</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 «п» п.1, пп.«а» - «в»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2"/>
        <w:keepNext w:val="0"/>
        <w:keepLines w:val="0"/>
        <w:widowControl w:val="0"/>
        <w:numPr>
          <w:ilvl w:val="0"/>
          <w:numId w:val="5"/>
        </w:numPr>
        <w:shd w:val="clear" w:color="auto" w:fill="auto"/>
        <w:tabs>
          <w:tab w:pos="104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12"/>
        <w:keepNext w:val="0"/>
        <w:keepLines w:val="0"/>
        <w:widowControl w:val="0"/>
        <w:numPr>
          <w:ilvl w:val="0"/>
          <w:numId w:val="5"/>
        </w:numPr>
        <w:shd w:val="clear" w:color="auto" w:fill="auto"/>
        <w:tabs>
          <w:tab w:pos="1059" w:val="left"/>
        </w:tabs>
        <w:bidi w:val="0"/>
        <w:spacing w:before="0" w:after="0" w:line="254" w:lineRule="auto"/>
        <w:ind w:left="0" w:right="0" w:firstLine="700"/>
        <w:jc w:val="both"/>
        <w:sectPr>
          <w:headerReference w:type="default" r:id="rId13"/>
          <w:footerReference w:type="default" r:id="rId14"/>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12"/>
        <w:keepNext w:val="0"/>
        <w:keepLines w:val="0"/>
        <w:widowControl w:val="0"/>
        <w:numPr>
          <w:ilvl w:val="0"/>
          <w:numId w:val="5"/>
        </w:numPr>
        <w:shd w:val="clear" w:color="auto" w:fill="auto"/>
        <w:tabs>
          <w:tab w:pos="1038" w:val="left"/>
        </w:tabs>
        <w:bidi w:val="0"/>
        <w:spacing w:before="0" w:after="0"/>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5"/>
        </w:numPr>
        <w:shd w:val="clear" w:color="auto" w:fill="auto"/>
        <w:tabs>
          <w:tab w:pos="1019" w:val="left"/>
        </w:tabs>
        <w:bidi w:val="0"/>
        <w:spacing w:before="0" w:after="0"/>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5"/>
        </w:numPr>
        <w:shd w:val="clear" w:color="auto" w:fill="auto"/>
        <w:tabs>
          <w:tab w:pos="1043" w:val="left"/>
        </w:tabs>
        <w:bidi w:val="0"/>
        <w:spacing w:before="0" w:after="0"/>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ст.43 Закона о контрактной системе при формировании предложения участника закупки в отношении объекта закупки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пп.«а» п.2 ч.1 ст.43 Закона о контрактной системе,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электронном документе «Требования к содержанию, составу заявки на участие в закупке» Заказчиком определены в том числе следующие требования к составу заявки на участие в закупке:</w:t>
      </w:r>
    </w:p>
    <w:p>
      <w:pPr>
        <w:pStyle w:val="Style12"/>
        <w:keepNext w:val="0"/>
        <w:keepLines w:val="0"/>
        <w:widowControl w:val="0"/>
        <w:numPr>
          <w:ilvl w:val="0"/>
          <w:numId w:val="7"/>
        </w:numPr>
        <w:shd w:val="clear" w:color="auto" w:fill="auto"/>
        <w:tabs>
          <w:tab w:pos="1437" w:val="left"/>
          <w:tab w:pos="1439" w:val="left"/>
        </w:tabs>
        <w:bidi w:val="0"/>
        <w:spacing w:before="0" w:after="0"/>
        <w:ind w:left="0" w:right="0" w:firstLine="700"/>
        <w:jc w:val="both"/>
      </w:pPr>
      <w:r>
        <w:rPr>
          <w:color w:val="000000"/>
          <w:spacing w:val="0"/>
          <w:w w:val="100"/>
          <w:position w:val="0"/>
          <w:shd w:val="clear" w:color="auto" w:fill="auto"/>
          <w:lang w:val="ru-RU" w:eastAsia="ru-RU" w:bidi="ru-RU"/>
        </w:rPr>
        <w:t>«4 Характеристики предлагаемого участником закупки товара,</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соответствующие показателям, установленным в описании объекта закупки в соответствии с частью 2 статьи 33 Закона о контрактной системе.»;</w:t>
      </w:r>
    </w:p>
    <w:p>
      <w:pPr>
        <w:pStyle w:val="Style12"/>
        <w:keepNext w:val="0"/>
        <w:keepLines w:val="0"/>
        <w:widowControl w:val="0"/>
        <w:numPr>
          <w:ilvl w:val="0"/>
          <w:numId w:val="7"/>
        </w:numPr>
        <w:shd w:val="clear" w:color="auto" w:fill="auto"/>
        <w:tabs>
          <w:tab w:pos="1437" w:val="left"/>
          <w:tab w:pos="1439" w:val="left"/>
        </w:tabs>
        <w:bidi w:val="0"/>
        <w:spacing w:before="0" w:after="0"/>
        <w:ind w:left="0" w:right="0" w:firstLine="700"/>
        <w:jc w:val="both"/>
      </w:pPr>
      <w:r>
        <w:rPr>
          <w:color w:val="000000"/>
          <w:spacing w:val="0"/>
          <w:w w:val="100"/>
          <w:position w:val="0"/>
          <w:shd w:val="clear" w:color="auto" w:fill="auto"/>
          <w:lang w:val="ru-RU" w:eastAsia="ru-RU" w:bidi="ru-RU"/>
        </w:rPr>
        <w:t>«5 Наименование страны происхождения товара в соответствии с</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общероссийским классификатором, используемым для идентификации стран мира, с учетом положений части 2 статьи 43 Закона о контрактной системе.»;</w:t>
      </w:r>
    </w:p>
    <w:p>
      <w:pPr>
        <w:pStyle w:val="Style12"/>
        <w:keepNext w:val="0"/>
        <w:keepLines w:val="0"/>
        <w:widowControl w:val="0"/>
        <w:numPr>
          <w:ilvl w:val="0"/>
          <w:numId w:val="7"/>
        </w:numPr>
        <w:shd w:val="clear" w:color="auto" w:fill="auto"/>
        <w:tabs>
          <w:tab w:pos="1437" w:val="left"/>
          <w:tab w:pos="1439" w:val="left"/>
        </w:tabs>
        <w:bidi w:val="0"/>
        <w:spacing w:before="0" w:after="0"/>
        <w:ind w:left="0" w:right="0" w:firstLine="700"/>
        <w:jc w:val="both"/>
      </w:pPr>
      <w:r>
        <w:rPr>
          <w:color w:val="000000"/>
          <w:spacing w:val="0"/>
          <w:w w:val="100"/>
          <w:position w:val="0"/>
          <w:shd w:val="clear" w:color="auto" w:fill="auto"/>
          <w:lang w:val="ru-RU" w:eastAsia="ru-RU" w:bidi="ru-RU"/>
        </w:rPr>
        <w:t>«6 Документы, подтверждающие соответствие товара, работы или</w:t>
      </w:r>
    </w:p>
    <w:p>
      <w:pPr>
        <w:pStyle w:val="Style12"/>
        <w:keepNext w:val="0"/>
        <w:keepLines w:val="0"/>
        <w:widowControl w:val="0"/>
        <w:shd w:val="clear" w:color="auto" w:fill="auto"/>
        <w:bidi w:val="0"/>
        <w:spacing w:before="0" w:after="0" w:line="276" w:lineRule="auto"/>
        <w:ind w:left="0" w:right="0" w:firstLine="0"/>
        <w:jc w:val="both"/>
        <w:rPr>
          <w:sz w:val="24"/>
          <w:szCs w:val="24"/>
        </w:rPr>
      </w:pPr>
      <w:r>
        <w:rPr>
          <w:color w:val="000000"/>
          <w:spacing w:val="0"/>
          <w:w w:val="100"/>
          <w:position w:val="0"/>
          <w:sz w:val="28"/>
          <w:szCs w:val="28"/>
          <w:shd w:val="clear" w:color="auto" w:fill="auto"/>
          <w:lang w:val="ru-RU" w:eastAsia="ru-RU" w:bidi="ru-RU"/>
        </w:rPr>
        <w:t xml:space="preserve">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7"/>
        </w:numPr>
        <w:shd w:val="clear" w:color="auto" w:fill="auto"/>
        <w:tabs>
          <w:tab w:pos="1437" w:val="left"/>
          <w:tab w:pos="143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«7 Товарный знак (при наличии)».</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рамках контракта, заключаемого по результатам обжалуемой конкурентной процедуры, осуществляется поставка монтируемого оборудования системы контроля и управления доступом, а именно шлагбаума.</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 по мнению представителя Заказчика, о поставке товара свидетельствует указание п.2.18 описания объекта закупки, электронные документы, содержание обоснование начальной (максимальной) цены контракта, требований, указанные в структурированной форме извещения, а также указание «Оборудование предоставляется Заказчиком: Нет» в Приложении № 1 к техническому заданию «Перечень объектов закупки».</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отмечает, что, вопреки пояснениям представителя Заказчика, из положений описания объекта закупки однозначно не следует, что оборудование «шлагбаум» подлежит поставке в рамках контракта, заключаемого по результатам обжалуемой конкурентной процедуры.</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Так, в описании объекта закупки отсутствует как прямое указание на необходимость поставки оборудования «шлагбаум», так и описание такого оборудования, требования к характеристикам поставляемого оборудования в соответствии с ч.2 ст.33 Закона о контрактной системе, а также отсутствует указание на порядок приемки оборудования, определения непосредственно оборудования на бухгалтерский учет Заказчика.</w:t>
      </w:r>
    </w:p>
    <w:p>
      <w:pPr>
        <w:pStyle w:val="Style1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При этом Комиссия Управления отмечает, что п.2.18 описания объекта закупки не может быть трактован как порядок приемки поставляемого товара, так как данной положение описание объекта закупки указывает на исключительно на осуществление Заказчиком входного контроля любого монтируемого и используемого оборудование, в том числе строительных материалов и используемых товаров, которые очевидно не относятся к поставляемому оборудованию.</w:t>
      </w:r>
    </w:p>
    <w:p>
      <w:pPr>
        <w:pStyle w:val="Style12"/>
        <w:keepNext w:val="0"/>
        <w:keepLines w:val="0"/>
        <w:widowControl w:val="0"/>
        <w:shd w:val="clear" w:color="auto" w:fill="auto"/>
        <w:bidi w:val="0"/>
        <w:spacing w:before="0" w:after="0" w:line="259"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44" w:bottom="677" w:left="1104"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Помимо этого Комиссия Управления отмечает, что в проекте контракта, размещенном в составе извещения, Заказчиком также не содержится указание на порядок и сроки осуществления Заказчиком приемки поставленного оборудования и указано лишь на приемку работ, в рамках которого монтируется такое оборудование, что в свою очередь может свидетельствовать о том, что оборудование является используемым при выполнении закупаемых Заказчиком работ по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160" w:after="0"/>
        <w:ind w:left="0" w:right="0" w:firstLine="0"/>
        <w:jc w:val="both"/>
      </w:pPr>
      <w:r>
        <w:rPr>
          <w:color w:val="000000"/>
          <w:spacing w:val="0"/>
          <w:w w:val="100"/>
          <w:position w:val="0"/>
          <w:shd w:val="clear" w:color="auto" w:fill="auto"/>
          <w:lang w:val="ru-RU" w:eastAsia="ru-RU" w:bidi="ru-RU"/>
        </w:rPr>
        <w:t>установке оборудования.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описание объекта закупки, а также проект контракта сформирован Заказчиком в нарушение положений Закона о контрактной системе, так как электронные документы не содержат положений, подлежащих установлению при осуществлении поставки товара, в то время как, требования к составу заявки на участие в закупке, структурированная форма извещения сформированы Заказчиком с учетом необходимости поставки необходимого оборудования, что также подтверждается представителями Заказчика.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 нарушении Заказчиком положений п.1 ч.13 ст.34, п.1 ч.1 ст.33, ч.2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 Также в составе жалобы Заявитель указывает, что Заказчиком неправомерно установлены неоднозначные требования к составу заявки на участие в закупке.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частности составе жалобы Заявитель указывает:</w:t>
      </w:r>
    </w:p>
    <w:p>
      <w:pPr>
        <w:pStyle w:val="Style12"/>
        <w:keepNext w:val="0"/>
        <w:keepLines w:val="0"/>
        <w:widowControl w:val="0"/>
        <w:numPr>
          <w:ilvl w:val="0"/>
          <w:numId w:val="9"/>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на установление требования о необходимости предоставления в составе заявки на участие в закупке документов, подтверждающих соответствие товара, работы или услуги требованиям, установленным в соответствии с законодательством Российской Федерации, без указания конкретного перечня документов, необходимых к представлению, что не позволяет однозначным образом идентифицировать необходимый к представлению в составе заявки на участие в закупке перечень документов;</w:t>
      </w:r>
    </w:p>
    <w:p>
      <w:pPr>
        <w:pStyle w:val="Style12"/>
        <w:keepNext w:val="0"/>
        <w:keepLines w:val="0"/>
        <w:widowControl w:val="0"/>
        <w:numPr>
          <w:ilvl w:val="0"/>
          <w:numId w:val="9"/>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на установление требования о представлении документов, предусмотренных нормативными актами, принятыми в соответствии со ст.14 Закона о контрактной системе, предусматривающего представление сведений, подтверждающих страну прохождения товара в соответствии положениями Приказа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в то время как в извещения Заказчиком также установлены ограничения, предусмотренные положениями Постановления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Абз.4 п.2 Постановление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№1, приложении №2 к Приказу №126н (далее при совместном упоминании - Приложения).</w:t>
      </w:r>
    </w:p>
    <w:p>
      <w:pPr>
        <w:pStyle w:val="Style12"/>
        <w:keepNext w:val="0"/>
        <w:keepLines w:val="0"/>
        <w:widowControl w:val="0"/>
        <w:shd w:val="clear" w:color="auto" w:fill="auto"/>
        <w:bidi w:val="0"/>
        <w:spacing w:before="0" w:after="0"/>
        <w:ind w:left="0" w:right="0" w:firstLine="700"/>
        <w:jc w:val="both"/>
        <w:sectPr>
          <w:headerReference w:type="default" r:id="rId17"/>
          <w:footerReference w:type="default" r:id="rId18"/>
          <w:headerReference w:type="first" r:id="rId19"/>
          <w:footerReference w:type="first" r:id="rId20"/>
          <w:footnotePr>
            <w:pos w:val="pageBottom"/>
            <w:numFmt w:val="decimal"/>
            <w:numRestart w:val="continuous"/>
          </w:footnotePr>
          <w:pgSz w:w="11900" w:h="16840"/>
          <w:pgMar w:top="1242" w:right="544" w:bottom="1165" w:left="1104" w:header="0" w:footer="3" w:gutter="0"/>
          <w:cols w:space="720"/>
          <w:noEndnote/>
          <w:titlePg/>
          <w:rtlGutter w:val="0"/>
          <w:docGrid w:linePitch="360"/>
        </w:sectPr>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установлено ограничение допуска радиоэлектронной продукции, происходящих из иностранных государств, в соответствии с положениями Постановления №878, а также условия допуска товаров в соответствии с положениями Приказа №126н.</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 Постановления №878 установлено, что при осуществлении закупок радиоэлектронной продукции, включенной в перечень, за исключением установленного пунктом 3(1) Постановления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П.3(1) Постановления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и которая одновременно:</w:t>
      </w:r>
    </w:p>
    <w:p>
      <w:pPr>
        <w:pStyle w:val="Style12"/>
        <w:keepNext w:val="0"/>
        <w:keepLines w:val="0"/>
        <w:widowControl w:val="0"/>
        <w:numPr>
          <w:ilvl w:val="0"/>
          <w:numId w:val="1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12"/>
        <w:keepNext w:val="0"/>
        <w:keepLines w:val="0"/>
        <w:widowControl w:val="0"/>
        <w:numPr>
          <w:ilvl w:val="0"/>
          <w:numId w:val="1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12"/>
        <w:keepNext w:val="0"/>
        <w:keepLines w:val="0"/>
        <w:widowControl w:val="0"/>
        <w:shd w:val="clear" w:color="auto" w:fill="auto"/>
        <w:bidi w:val="0"/>
        <w:spacing w:before="0" w:after="0" w:line="276" w:lineRule="auto"/>
        <w:ind w:left="0" w:right="0" w:firstLine="700"/>
        <w:jc w:val="both"/>
        <w:rPr>
          <w:sz w:val="24"/>
          <w:szCs w:val="24"/>
        </w:rPr>
        <w:sectPr>
          <w:headerReference w:type="default" r:id="rId21"/>
          <w:footerReference w:type="default" r:id="rId22"/>
          <w:footnotePr>
            <w:pos w:val="pageBottom"/>
            <w:numFmt w:val="decimal"/>
            <w:numRestart w:val="continuous"/>
          </w:footnotePr>
          <w:pgSz w:w="11900" w:h="16840"/>
          <w:pgMar w:top="1162" w:right="546" w:bottom="677" w:left="1106" w:header="0" w:footer="24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w:t>
      </w:r>
      <w:r>
        <w:rPr>
          <w:color w:val="000000"/>
          <w:spacing w:val="0"/>
          <w:w w:val="100"/>
          <w:position w:val="0"/>
          <w:sz w:val="24"/>
          <w:szCs w:val="24"/>
          <w:shd w:val="clear" w:color="auto" w:fill="auto"/>
          <w:lang w:val="ru-RU" w:eastAsia="ru-RU" w:bidi="ru-RU"/>
        </w:rPr>
        <w:t>2024-46635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экономического союза), в соответствии с п.3 Постановления №878.</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П.3(2) Постановления №878 установлено, что, за исключением случаев, установленных настоящим постановлением:</w:t>
      </w:r>
    </w:p>
    <w:p>
      <w:pPr>
        <w:pStyle w:val="Style12"/>
        <w:keepNext w:val="0"/>
        <w:keepLines w:val="0"/>
        <w:widowControl w:val="0"/>
        <w:numPr>
          <w:ilvl w:val="0"/>
          <w:numId w:val="1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(далее - реестр)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2"/>
        <w:keepNext w:val="0"/>
        <w:keepLines w:val="0"/>
        <w:widowControl w:val="0"/>
        <w:numPr>
          <w:ilvl w:val="0"/>
          <w:numId w:val="1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П.3(3) Постановления №878 определено, что для подтверждения соответствия радиоэлектронной продукции требованиям, предусмотренным пунктом 3(2) Постановления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пп.1.6 Приказа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Закона контрактной системе наименования страны происхождения товара.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электронном документе</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Заказчиком определены в том числе следующие требования к составу заявки на участие в закупке:</w:t>
      </w:r>
    </w:p>
    <w:p>
      <w:pPr>
        <w:pStyle w:val="Style12"/>
        <w:keepNext w:val="0"/>
        <w:keepLines w:val="0"/>
        <w:widowControl w:val="0"/>
        <w:numPr>
          <w:ilvl w:val="0"/>
          <w:numId w:val="11"/>
        </w:numPr>
        <w:shd w:val="clear" w:color="auto" w:fill="auto"/>
        <w:tabs>
          <w:tab w:pos="1434" w:val="left"/>
          <w:tab w:pos="2126" w:val="left"/>
        </w:tabs>
        <w:bidi w:val="0"/>
        <w:spacing w:before="0" w:after="0"/>
        <w:ind w:left="0" w:right="0" w:firstLine="700"/>
        <w:jc w:val="both"/>
      </w:pPr>
      <w:r>
        <w:rPr>
          <w:color w:val="000000"/>
          <w:spacing w:val="0"/>
          <w:w w:val="100"/>
          <w:position w:val="0"/>
          <w:shd w:val="clear" w:color="auto" w:fill="auto"/>
          <w:lang w:val="ru-RU" w:eastAsia="ru-RU" w:bidi="ru-RU"/>
        </w:rPr>
        <w:t>«6 Документы, подтверждающие соответствие товара, работы или</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11"/>
        </w:numPr>
        <w:shd w:val="clear" w:color="auto" w:fill="auto"/>
        <w:tabs>
          <w:tab w:pos="1434" w:val="left"/>
          <w:tab w:pos="2126" w:val="left"/>
        </w:tabs>
        <w:bidi w:val="0"/>
        <w:spacing w:before="0" w:after="0"/>
        <w:ind w:left="0" w:right="0" w:firstLine="700"/>
        <w:jc w:val="both"/>
      </w:pPr>
      <w:r>
        <w:rPr>
          <w:color w:val="000000"/>
          <w:spacing w:val="0"/>
          <w:w w:val="100"/>
          <w:position w:val="0"/>
          <w:shd w:val="clear" w:color="auto" w:fill="auto"/>
          <w:lang w:val="ru-RU" w:eastAsia="ru-RU" w:bidi="ru-RU"/>
        </w:rPr>
        <w:t>«9 Информация и документы, предусмотренные нормативными</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Закупка осуществляется в соответствии с положениями Приказа Минфина России от 04.06.2018 К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положения извещения, в том числе требования к содержанию и составу заявки на участие в закупке, должны носить однозначный характер и не допускать двоякого трактования.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Комиссия Управления отмечает, что наличие в перечне требований к содержанию и составу заявки на участие в закупке указания на необходимость предоставления определенной информации, в то время как, фактически, предоставление установленной в таких положениях информации не требуется в составе заявки на участие в закупке, равно как и установление требования о необходимости предоставления информации, которое применяется в зависимости от исполнения определенных условий, указанных в извещении об осуществлении закупки, отсутствие конкретизации запрашиваемых в составе заявки на участие документов, свидетельствует о нарушении Заказчиком положения Закона о контрактной системе при формирования требований к составу и содержанию заявки на участие в закупке, так как не позволяет участникам закупки однозначным образом определить сведения, необходимые к представлению в составе заявке на участие в закупке, без осуществления дополнительного поиска в составе извещения условий применения требования, что, в свою очередь, может повлечь за собой введение участников закупочной процедуры в заблуждение и отклонение заявок таких участников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оспариваемые требования к составу заявки является неправомерными, так как в составе таких требований отсутствует указание на документы и сведения, подлежащие представлению в составе заявки на участие в закупке, в частности не указано на необходимость представления сведений о реестровых записях, порядок подтверждения страны происхождения товара в рамках положений Приказа №126н, а также отсутствует указание, какие именно документы необходимо представить в рамках требования о представлении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Комиссия Управления также отмечает, что в составе требований Заказчиком указано на проведение конкурентной процедуры исключительно в соответствии с положениями Приказа №126н, в то время как в извещения также предусмотрены ограничения, предусмотренные положения Постановления №878, что может вводить участников закупки в заблуждение относительно необходимости представления документов, подтверждающих страну прохождения оборудования.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данного довода жалобы обоснованным и о нарушении Заказчиком п.3 ч.2 ст.42 Закона о контрактной системе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ind w:left="0" w:right="0" w:firstLine="700"/>
        <w:jc w:val="both"/>
        <w:sectPr>
          <w:headerReference w:type="default" r:id="rId23"/>
          <w:footerReference w:type="default" r:id="rId24"/>
          <w:footnotePr>
            <w:pos w:val="pageBottom"/>
            <w:numFmt w:val="decimal"/>
            <w:numRestart w:val="continuous"/>
          </w:footnotePr>
          <w:pgSz w:w="11900" w:h="16840"/>
          <w:pgMar w:top="1162" w:right="541" w:bottom="1133"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РЕШИЛА:</w:t>
      </w:r>
    </w:p>
    <w:p>
      <w:pPr>
        <w:pStyle w:val="Style12"/>
        <w:keepNext w:val="0"/>
        <w:keepLines w:val="0"/>
        <w:widowControl w:val="0"/>
        <w:numPr>
          <w:ilvl w:val="0"/>
          <w:numId w:val="13"/>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«Ремстрой» на действия ГБУ Социальный дом «Вешняки»» обоснованной.</w:t>
      </w:r>
    </w:p>
    <w:p>
      <w:pPr>
        <w:pStyle w:val="Style12"/>
        <w:keepNext w:val="0"/>
        <w:keepLines w:val="0"/>
        <w:widowControl w:val="0"/>
        <w:numPr>
          <w:ilvl w:val="0"/>
          <w:numId w:val="13"/>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п.3 ч.2 ст.42, п.1 ч.13 ст.34, п.1 ч.1 ст.33, ч.2 ст.33 Закона о контрактной системе.</w:t>
      </w:r>
    </w:p>
    <w:p>
      <w:pPr>
        <w:pStyle w:val="Style12"/>
        <w:keepNext w:val="0"/>
        <w:keepLines w:val="0"/>
        <w:widowControl w:val="0"/>
        <w:numPr>
          <w:ilvl w:val="0"/>
          <w:numId w:val="13"/>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Закона о контрактной системе.</w:t>
      </w:r>
    </w:p>
    <w:p>
      <w:pPr>
        <w:pStyle w:val="Style12"/>
        <w:keepNext w:val="0"/>
        <w:keepLines w:val="0"/>
        <w:widowControl w:val="0"/>
        <w:numPr>
          <w:ilvl w:val="0"/>
          <w:numId w:val="13"/>
        </w:numPr>
        <w:shd w:val="clear" w:color="auto" w:fill="auto"/>
        <w:tabs>
          <w:tab w:pos="1406"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528" w:left="1106" w:header="0" w:footer="3" w:gutter="0"/>
          <w:cols w:space="720"/>
          <w:noEndnote/>
          <w:rtlGutter w:val="0"/>
          <w:docGrid w:linePitch="360"/>
        </w:sectPr>
      </w:pPr>
      <w:r>
        <mc:AlternateContent>
          <mc:Choice Requires="wps">
            <w:drawing>
              <wp:anchor distT="139700" distB="219075" distL="0" distR="0" simplePos="0" relativeHeight="125829378" behindDoc="0" locked="0" layoutInCell="1" allowOverlap="1">
                <wp:simplePos x="0" y="0"/>
                <wp:positionH relativeFrom="page">
                  <wp:posOffset>735965</wp:posOffset>
                </wp:positionH>
                <wp:positionV relativeFrom="paragraph">
                  <wp:posOffset>139700</wp:posOffset>
                </wp:positionV>
                <wp:extent cx="1896110" cy="250190"/>
                <wp:wrapTopAndBottom/>
                <wp:docPr id="30" name="Shape 30"/>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6" type="#_x0000_t202" style="position:absolute;margin-left:57.950000000000003pt;margin-top:11.pt;width:149.30000000000001pt;height:19.699999999999999pt;z-index:-125829375;mso-wrap-distance-left:0;mso-wrap-distance-top:11.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3835" distB="0" distL="0" distR="1789430" simplePos="0" relativeHeight="125829380" behindDoc="0" locked="0" layoutInCell="1" allowOverlap="1">
            <wp:simplePos x="0" y="0"/>
            <wp:positionH relativeFrom="page">
              <wp:posOffset>3094990</wp:posOffset>
            </wp:positionH>
            <wp:positionV relativeFrom="paragraph">
              <wp:posOffset>203835</wp:posOffset>
            </wp:positionV>
            <wp:extent cx="365760" cy="408305"/>
            <wp:wrapTopAndBottom/>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5"/>
                    <a:stretch/>
                  </pic:blipFill>
                  <pic:spPr>
                    <a:xfrm>
                      <a:ext cx="36576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301625</wp:posOffset>
                </wp:positionV>
                <wp:extent cx="1725295" cy="259080"/>
                <wp:wrapNone/>
                <wp:docPr id="34" name="Shape 34"/>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77.55000000000001pt;margin-top:23.75pt;width:135.84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9075" distL="0" distR="0" simplePos="0" relativeHeight="125829381" behindDoc="0" locked="0" layoutInCell="1" allowOverlap="1">
                <wp:simplePos x="0" y="0"/>
                <wp:positionH relativeFrom="page">
                  <wp:posOffset>6185535</wp:posOffset>
                </wp:positionH>
                <wp:positionV relativeFrom="paragraph">
                  <wp:posOffset>139700</wp:posOffset>
                </wp:positionV>
                <wp:extent cx="1029970" cy="250190"/>
                <wp:wrapTopAndBottom/>
                <wp:docPr id="36" name="Shape 36"/>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2" type="#_x0000_t202" style="position:absolute;margin-left:487.05000000000001pt;margin-top:11.pt;width:81.100000000000009pt;height:19.699999999999999pt;z-index:-125829372;mso-wrap-distance-left:0;mso-wrap-distance-top:11.pt;mso-wrap-distance-right:0;mso-wrap-distance-bottom:17.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 xml:space="preserve">00Э590946С31СЕ073ВЕ5С5О6ЕЕ7501 </w:t>
      </w:r>
      <w:r>
        <w:rPr>
          <w:spacing w:val="0"/>
          <w:w w:val="100"/>
          <w:position w:val="0"/>
          <w:shd w:val="clear" w:color="auto" w:fill="auto"/>
          <w:lang w:val="ru-RU" w:eastAsia="ru-RU" w:bidi="ru-RU"/>
        </w:rPr>
        <w:t>0760</w:t>
      </w:r>
    </w:p>
    <w:p>
      <w:pPr>
        <w:pStyle w:val="Style27"/>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12.03.2024 </w:t>
      </w:r>
      <w:r>
        <w:rPr>
          <w:spacing w:val="0"/>
          <w:w w:val="100"/>
          <w:position w:val="0"/>
          <w:shd w:val="clear" w:color="auto" w:fill="auto"/>
          <w:lang w:val="ru-RU" w:eastAsia="ru-RU" w:bidi="ru-RU"/>
        </w:rPr>
        <w:t>по 05.06.2025</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95" w:line="240" w:lineRule="auto"/>
        <w:ind w:left="0" w:right="0" w:firstLine="820"/>
        <w:jc w:val="left"/>
      </w:pPr>
      <w:r>
        <w:drawing>
          <wp:anchor distT="0" distB="0" distL="114300" distR="1921510" simplePos="0" relativeHeight="125829383" behindDoc="0" locked="0" layoutInCell="1" allowOverlap="1">
            <wp:simplePos x="0" y="0"/>
            <wp:positionH relativeFrom="page">
              <wp:posOffset>3131820</wp:posOffset>
            </wp:positionH>
            <wp:positionV relativeFrom="paragraph">
              <wp:posOffset>76200</wp:posOffset>
            </wp:positionV>
            <wp:extent cx="311150" cy="365760"/>
            <wp:wrapSquare wrapText="right"/>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27"/>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146050</wp:posOffset>
                </wp:positionV>
                <wp:extent cx="1725295" cy="255905"/>
                <wp:wrapNone/>
                <wp:docPr id="40" name="Shape 4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55000000000001pt;margin-top:11.5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59" w:lineRule="auto"/>
        <w:ind w:right="0" w:firstLine="0"/>
        <w:jc w:val="left"/>
      </w:pPr>
      <w:r>
        <w:rPr>
          <w:spacing w:val="0"/>
          <w:w w:val="100"/>
          <w:position w:val="0"/>
          <w:shd w:val="clear" w:color="auto" w:fill="auto"/>
          <w:lang w:val="ru-RU" w:eastAsia="ru-RU" w:bidi="ru-RU"/>
        </w:rPr>
        <w:t xml:space="preserve">Кому </w:t>
      </w:r>
      <w:r>
        <w:rPr>
          <w:color w:val="454545"/>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2Е366ЕОЗОЕЕ902О8968РА4В2С7О60465</w:t>
      </w:r>
    </w:p>
    <w:p>
      <w:pPr>
        <w:pStyle w:val="Style27"/>
        <w:keepNext w:val="0"/>
        <w:keepLines w:val="0"/>
        <w:widowControl w:val="0"/>
        <w:shd w:val="clear" w:color="auto" w:fill="auto"/>
        <w:bidi w:val="0"/>
        <w:spacing w:before="0" w:after="560" w:line="259" w:lineRule="auto"/>
        <w:ind w:right="0" w:firstLine="0"/>
        <w:jc w:val="left"/>
      </w:pPr>
      <w:r>
        <w:rPr>
          <w:spacing w:val="0"/>
          <w:w w:val="100"/>
          <w:position w:val="0"/>
          <w:shd w:val="clear" w:color="auto" w:fill="auto"/>
          <w:lang w:val="ru-RU" w:eastAsia="ru-RU" w:bidi="ru-RU"/>
        </w:rPr>
        <w:t xml:space="preserve">Действителен </w:t>
      </w:r>
      <w:r>
        <w:rPr>
          <w:color w:val="454545"/>
          <w:spacing w:val="0"/>
          <w:w w:val="100"/>
          <w:position w:val="0"/>
          <w:shd w:val="clear" w:color="auto" w:fill="auto"/>
          <w:lang w:val="ru-RU" w:eastAsia="ru-RU" w:bidi="ru-RU"/>
        </w:rPr>
        <w:t xml:space="preserve">с 20.05.2024 </w:t>
      </w:r>
      <w:r>
        <w:rPr>
          <w:spacing w:val="0"/>
          <w:w w:val="100"/>
          <w:position w:val="0"/>
          <w:shd w:val="clear" w:color="auto" w:fill="auto"/>
          <w:lang w:val="ru-RU" w:eastAsia="ru-RU" w:bidi="ru-RU"/>
        </w:rPr>
        <w:t>по 13.08.2025</w:t>
      </w:r>
    </w:p>
    <w:p>
      <w:pPr>
        <w:pStyle w:val="Style12"/>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4" behindDoc="0" locked="0" layoutInCell="1" allowOverlap="1">
            <wp:simplePos x="0" y="0"/>
            <wp:positionH relativeFrom="page">
              <wp:posOffset>3073400</wp:posOffset>
            </wp:positionH>
            <wp:positionV relativeFrom="paragraph">
              <wp:posOffset>25400</wp:posOffset>
            </wp:positionV>
            <wp:extent cx="389890" cy="572770"/>
            <wp:wrapSquare wrapText="right"/>
            <wp:docPr id="42" name="Shape 42"/>
            <a:graphic xmlns:a="http://schemas.openxmlformats.org/drawingml/2006/main">
              <a:graphicData uri="http://schemas.openxmlformats.org/drawingml/2006/picture">
                <pic:pic xmlns:pic="http://schemas.openxmlformats.org/drawingml/2006/picture">
                  <pic:nvPicPr>
                    <pic:cNvPr id="43" name="Picture box 43"/>
                    <pic:cNvPicPr/>
                  </pic:nvPicPr>
                  <pic:blipFill>
                    <a:blip r:embed="rId2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3505"/>
                <wp:wrapNone/>
                <wp:docPr id="44" name="Shape 4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70" type="#_x0000_t202" style="position:absolute;margin-left:281.10000000000002pt;margin-top:36.550000000000004pt;width:100.8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153670</wp:posOffset>
                </wp:positionV>
                <wp:extent cx="1725295" cy="255905"/>
                <wp:wrapNone/>
                <wp:docPr id="46" name="Shape 4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2" type="#_x0000_t202" style="position:absolute;margin-left:277.5pt;margin-top:12.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272727"/>
          <w:spacing w:val="0"/>
          <w:w w:val="100"/>
          <w:position w:val="0"/>
          <w:shd w:val="clear" w:color="auto" w:fill="auto"/>
          <w:lang w:val="ru-RU" w:eastAsia="ru-RU" w:bidi="ru-RU"/>
        </w:rPr>
        <w:t>В04705С4В0130528702ЕАЕ</w:t>
      </w:r>
    </w:p>
    <w:p>
      <w:pPr>
        <w:pStyle w:val="Style27"/>
        <w:keepNext w:val="0"/>
        <w:keepLines w:val="0"/>
        <w:widowControl w:val="0"/>
        <w:shd w:val="clear" w:color="auto" w:fill="auto"/>
        <w:bidi w:val="0"/>
        <w:spacing w:before="0" w:after="24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wps:txbx>
                    <wps:bodyPr wrap="none" lIns="0" tIns="0" rIns="0" bIns="0">
                      <a:spAutoFit/>
                    </wps:bodyPr>
                  </wps:wsp>
                </a:graphicData>
              </a:graphic>
            </wp:anchor>
          </w:drawing>
        </mc:Choice>
        <mc:Fallback>
          <w:pict>
            <v:shape id="_x0000_s1031" type="#_x0000_t202" style="position:absolute;margin-left:57.pt;margin-top:804.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727075</wp:posOffset>
              </wp:positionH>
              <wp:positionV relativeFrom="page">
                <wp:posOffset>10249535</wp:posOffset>
              </wp:positionV>
              <wp:extent cx="722630" cy="100330"/>
              <wp:wrapNone/>
              <wp:docPr id="10" name="Shape 10"/>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wps:txbx>
                    <wps:bodyPr wrap="none" lIns="0" tIns="0" rIns="0" bIns="0">
                      <a:spAutoFit/>
                    </wps:bodyPr>
                  </wps:wsp>
                </a:graphicData>
              </a:graphic>
            </wp:anchor>
          </w:drawing>
        </mc:Choice>
        <mc:Fallback>
          <w:pict>
            <v:shape id="_x0000_s1036" type="#_x0000_t202" style="position:absolute;margin-left:57.25pt;margin-top:807.05000000000007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728345</wp:posOffset>
              </wp:positionH>
              <wp:positionV relativeFrom="page">
                <wp:posOffset>9935210</wp:posOffset>
              </wp:positionV>
              <wp:extent cx="722630" cy="100330"/>
              <wp:wrapNone/>
              <wp:docPr id="18" name="Shape 18"/>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wps:txbx>
                    <wps:bodyPr wrap="none" lIns="0" tIns="0" rIns="0" bIns="0">
                      <a:spAutoFit/>
                    </wps:bodyPr>
                  </wps:wsp>
                </a:graphicData>
              </a:graphic>
            </wp:anchor>
          </w:drawing>
        </mc:Choice>
        <mc:Fallback>
          <w:pict>
            <v:shape id="_x0000_s1044" type="#_x0000_t202" style="position:absolute;margin-left:57.350000000000001pt;margin-top:782.30000000000007pt;width:56.899999999999999pt;height:7.90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727075</wp:posOffset>
              </wp:positionH>
              <wp:positionV relativeFrom="page">
                <wp:posOffset>10249535</wp:posOffset>
              </wp:positionV>
              <wp:extent cx="722630" cy="100330"/>
              <wp:wrapNone/>
              <wp:docPr id="22" name="Shape 22"/>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wps:txbx>
                    <wps:bodyPr wrap="none" lIns="0" tIns="0" rIns="0" bIns="0">
                      <a:spAutoFit/>
                    </wps:bodyPr>
                  </wps:wsp>
                </a:graphicData>
              </a:graphic>
            </wp:anchor>
          </w:drawing>
        </mc:Choice>
        <mc:Fallback>
          <w:pict>
            <v:shape id="_x0000_s1048" type="#_x0000_t202" style="position:absolute;margin-left:57.25pt;margin-top:807.05000000000007pt;width:56.899999999999999pt;height:7.9000000000000004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727075</wp:posOffset>
              </wp:positionH>
              <wp:positionV relativeFrom="page">
                <wp:posOffset>10249535</wp:posOffset>
              </wp:positionV>
              <wp:extent cx="722630" cy="100330"/>
              <wp:wrapNone/>
              <wp:docPr id="28" name="Shape 28"/>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wps:txbx>
                    <wps:bodyPr wrap="none" lIns="0" tIns="0" rIns="0" bIns="0">
                      <a:spAutoFit/>
                    </wps:bodyPr>
                  </wps:wsp>
                </a:graphicData>
              </a:graphic>
            </wp:anchor>
          </w:drawing>
        </mc:Choice>
        <mc:Fallback>
          <w:pict>
            <v:shape id="_x0000_s1054" type="#_x0000_t202" style="position:absolute;margin-left:57.25pt;margin-top:807.05000000000007pt;width:56.899999999999999pt;height:7.9000000000000004pt;z-index:-18874403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3902710</wp:posOffset>
              </wp:positionH>
              <wp:positionV relativeFrom="page">
                <wp:posOffset>439420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34.600000000000001pt;width:10.1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3902710</wp:posOffset>
              </wp:positionH>
              <wp:positionV relativeFrom="page">
                <wp:posOffset>476250</wp:posOffset>
              </wp:positionV>
              <wp:extent cx="113030" cy="103505"/>
              <wp:wrapNone/>
              <wp:docPr id="8" name="Shape 8"/>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7.30000000000001pt;margin-top:37.5pt;width:8.9000000000000004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3902710</wp:posOffset>
              </wp:positionH>
              <wp:positionV relativeFrom="page">
                <wp:posOffset>439420</wp:posOffset>
              </wp:positionV>
              <wp:extent cx="128270" cy="103505"/>
              <wp:wrapNone/>
              <wp:docPr id="12" name="Shape 1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7.30000000000001pt;margin-top:34.600000000000001pt;width:10.1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3928745</wp:posOffset>
              </wp:positionH>
              <wp:positionV relativeFrom="page">
                <wp:posOffset>318770</wp:posOffset>
              </wp:positionV>
              <wp:extent cx="64135" cy="103505"/>
              <wp:wrapNone/>
              <wp:docPr id="14" name="Shape 14"/>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9.35000000000002pt;margin-top:25.100000000000001pt;width:5.0499999999999998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703" behindDoc="1" locked="0" layoutInCell="1" allowOverlap="1">
              <wp:simplePos x="0" y="0"/>
              <wp:positionH relativeFrom="page">
                <wp:posOffset>731520</wp:posOffset>
              </wp:positionH>
              <wp:positionV relativeFrom="page">
                <wp:posOffset>641985</wp:posOffset>
              </wp:positionV>
              <wp:extent cx="344170" cy="164465"/>
              <wp:wrapNone/>
              <wp:docPr id="16" name="Shape 16"/>
              <a:graphic xmlns:a="http://schemas.openxmlformats.org/drawingml/2006/main">
                <a:graphicData uri="http://schemas.microsoft.com/office/word/2010/wordprocessingShape">
                  <wps:wsp>
                    <wps:cNvSpPr txBox="1"/>
                    <wps:spPr>
                      <a:xfrm>
                        <a:ext cx="344170" cy="1644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878).</w:t>
                          </w:r>
                        </w:p>
                      </w:txbxContent>
                    </wps:txbx>
                    <wps:bodyPr wrap="none" lIns="0" tIns="0" rIns="0" bIns="0">
                      <a:spAutoFit/>
                    </wps:bodyPr>
                  </wps:wsp>
                </a:graphicData>
              </a:graphic>
            </wp:anchor>
          </w:drawing>
        </mc:Choice>
        <mc:Fallback>
          <w:pict>
            <v:shape id="_x0000_s1042" type="#_x0000_t202" style="position:absolute;margin-left:57.600000000000001pt;margin-top:50.550000000000004pt;width:27.100000000000001pt;height:12.950000000000001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878).</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3902710</wp:posOffset>
              </wp:positionH>
              <wp:positionV relativeFrom="page">
                <wp:posOffset>476250</wp:posOffset>
              </wp:positionV>
              <wp:extent cx="113030" cy="103505"/>
              <wp:wrapNone/>
              <wp:docPr id="20" name="Shape 20"/>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6" type="#_x0000_t202" style="position:absolute;margin-left:307.30000000000001pt;margin-top:37.5pt;width:8.9000000000000004pt;height:8.1500000000000004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3902710</wp:posOffset>
              </wp:positionH>
              <wp:positionV relativeFrom="page">
                <wp:posOffset>439420</wp:posOffset>
              </wp:positionV>
              <wp:extent cx="128270" cy="103505"/>
              <wp:wrapNone/>
              <wp:docPr id="24" name="Shape 24"/>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7.30000000000001pt;margin-top:34.600000000000001pt;width:10.1pt;height:8.1500000000000004pt;z-index:-18874404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3902710</wp:posOffset>
              </wp:positionH>
              <wp:positionV relativeFrom="page">
                <wp:posOffset>476250</wp:posOffset>
              </wp:positionV>
              <wp:extent cx="113030" cy="103505"/>
              <wp:wrapNone/>
              <wp:docPr id="26" name="Shape 26"/>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2" type="#_x0000_t202" style="position:absolute;margin-left:307.30000000000001pt;margin-top:37.5pt;width:8.9000000000000004pt;height:8.1500000000000004pt;z-index:-18874404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E9E9E9"/>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76767"/>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spacing w:after="20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48"/>
      <w:szCs w:val="4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4">
    <w:name w:val="Основной текст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9E9E9"/>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76767"/>
      <w:sz w:val="12"/>
      <w:szCs w:val="12"/>
      <w:u w:val="none"/>
    </w:rPr>
  </w:style>
  <w:style w:type="paragraph" w:customStyle="1" w:styleId="Style33">
    <w:name w:val="Основной текст (5)"/>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image" Target="media/image3.jpeg"/><Relationship Id="rId26" Type="http://schemas.openxmlformats.org/officeDocument/2006/relationships/image" Target="media/image3.jpeg" TargetMode="External"/><Relationship Id="rId27" Type="http://schemas.openxmlformats.org/officeDocument/2006/relationships/image" Target="media/image4.jpeg"/><Relationship Id="rId28" Type="http://schemas.openxmlformats.org/officeDocument/2006/relationships/image" Target="media/image4.jpeg" TargetMode="External"/><Relationship Id="rId29" Type="http://schemas.openxmlformats.org/officeDocument/2006/relationships/image" Target="media/image5.jpeg"/><Relationship Id="rId30" Type="http://schemas.openxmlformats.org/officeDocument/2006/relationships/image" Target="media/image5.jpeg" TargetMode="External"/></Relationships>
</file>