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12700</wp:posOffset>
                </wp:positionV>
                <wp:extent cx="1231265" cy="25019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ФГБНУ «НЦН»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75pt;margin-top:1.pt;width:96.95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ФГБНУ «НЦН»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7078" w:bottom="621" w:left="16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 w:val="0"/>
        <w:keepLines w:val="0"/>
        <w:framePr w:w="1411" w:h="240" w:wrap="none" w:vAnchor="text" w:hAnchor="page" w:x="2513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2606" w:h="394" w:wrap="none" w:vAnchor="text" w:hAnchor="page" w:x="64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хакирИ@пеиго1оду.ги</w:t>
      </w:r>
    </w:p>
    <w:p>
      <w:pPr>
        <w:pStyle w:val="Style4"/>
        <w:keepNext w:val="0"/>
        <w:keepLines w:val="0"/>
        <w:framePr w:w="1138" w:h="240" w:wrap="none" w:vAnchor="text" w:hAnchor="page" w:x="2653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framePr w:w="2453" w:h="461" w:wrap="none" w:vAnchor="text" w:hAnchor="page" w:x="1985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2"/>
        <w:keepNext w:val="0"/>
        <w:keepLines w:val="0"/>
        <w:framePr w:w="1949" w:h="394" w:wrap="none" w:vAnchor="text" w:hAnchor="page" w:x="641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«Лабхаус»</w:t>
      </w:r>
    </w:p>
    <w:p>
      <w:pPr>
        <w:pStyle w:val="Style4"/>
        <w:keepNext w:val="0"/>
        <w:keepLines w:val="0"/>
        <w:framePr w:w="3835" w:h="912" w:wrap="none" w:vAnchor="text" w:hAnchor="page" w:x="1270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35" w:h="912" w:wrap="none" w:vAnchor="text" w:hAnchor="page" w:x="1270" w:y="1427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40779/24</w:t>
      </w:r>
      <w:bookmarkEnd w:id="0"/>
    </w:p>
    <w:p>
      <w:pPr>
        <w:pStyle w:val="Style2"/>
        <w:keepNext w:val="0"/>
        <w:keepLines w:val="0"/>
        <w:framePr w:w="2942" w:h="398" w:wrap="none" w:vAnchor="text" w:hAnchor="page" w:x="6411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1аЪЪои8е.8рЪ@дтай.сот</w:t>
      </w:r>
    </w:p>
    <w:p>
      <w:pPr>
        <w:pStyle w:val="Style4"/>
        <w:keepNext w:val="0"/>
        <w:keepLines w:val="0"/>
        <w:framePr w:w="490" w:h="240" w:wrap="none" w:vAnchor="text" w:hAnchor="page" w:x="1141" w:y="2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9" w:right="0" w:bottom="7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№077/06/106-13326/2024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38100</wp:posOffset>
                </wp:positionV>
                <wp:extent cx="795655" cy="2012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0.pt;margin-top:3.pt;width:62.649999999999999pt;height:15.8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«Лабхаус»: А.С. Лапиной (дов. №7фас от 01.08.2024), ФГБНУ «НЦН»: Т.С. Рай (дов.№1 от 09.01.2024),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«Лабхаус» (далее — Заявитель) на действия ФГБНУ «НЦН» (далее — Заказчик) при проведении электронного аукциона на право заключения государственного контракта на поставку автоматического гистопроцессора (Закупка № 0373100078724000391)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при описании закупаемого оборудования «Автоматический гистопроцессор» Заказчиком неправомерно не применена соответствующая такому оборудованию позиция каталога товаров, работ, услуг для обеспечения государственных и муниципальных нужд (далее — КТРУ) 26.60.12.119-00000150 «Система обработки тканевых образцов ИВД, автоматическая».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4" w:val="left"/>
          <w:tab w:pos="10199" w:val="righ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</w:t>
        <w:tab/>
        <w:t>Федеральным законом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4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4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пп.«б» - «г» и «е»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2024-46042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п.10 Правил формирования КТРУ в позицию каталога включается следующая информация: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позиции каталога, формируемый в соответствии с п.12 Правил формирования КТРУ;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согласно Общероссийскому классификатору единиц измерения ОК 015-94 (ОКЕИ)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информация, содержащая описание товара, работы, услуги, если такое описание сформировано в соответствии с п.13 Правил формирования КТРУ;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справочная информация: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включения в каталог позиции;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(даты) начала обязательного применения информации, включенной в позицию каталога;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окончания применения позиции каталога (при необходимости);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дополнительная информация в соответствии с п.19 Правил формирования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КТРУ предусмотрена позиция 26.60.12.119-00000150 «Система обработки тканевых образцов ИВД, автоматическая», при этом в описании такой позиции КТРУ содержится описание товара, предусмотренное п.13 Правил формирования КТРУ, а также справочная информация о товаре, указанном в такой позиции КТРУ, в частности содержится указание на идентификационный уникальный номер записи наименования вида медицинского изделия 294280 «Система обработки тканевых образцов ИВД, автоматическая».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9" w:right="535" w:bottom="722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Заказчиком закупается изделие «Автоматический гистопроцессор» без применения информации из позиции КТРУ 26.60.12.119</w:t>
        <w:softHyphen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2024-46042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00000150 «Система обработки тканевых образцов ИВД, автоматическая».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позиция КТРУ 26.60.12.119-00000150 «Система обработки тканевых образцов ИВД, автоматическая» не применялась Заказчиком в связи с тем, что такая позиция КТРУ не соответствует закупаемому Заказчиком оборудованию.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 представитель Заказчика указал, что позиция КТРУ 26.60.12.119</w:t>
        <w:softHyphen/>
        <w:t>00000150 «Система обработки тканевых образцов ИВД, автоматическая» соответствует медицинскому изделию, в то время как Заказчиком закупается оборудование для проведения научно-лабораторных исследований, которое не является медицинским изделием.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справочная информация, предусмотренная пп.«д» п.10 Правил формирования КТРУ, является характеризующей позицию КТРУ информацией, позволяющей определить соответствующий такой позиции КТРУ товар.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в позиции КТРУ 26.60.12.119-00000150 «Система обработки тканевых образцов ИВД, автоматическая» содержится информация о соответствии такой позиции КТРУ идентификационному уникальному номеру записи наименования вида медицинского изделия 294280 «Система обработки тканевых образцов ИВД, автоматическая», что в свою очередь свидетельствует о том, что данной позиции КТРУ соответствует медицинское изделие.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позиция КТРУ 26.60.12.119-00000150 «Система обработки тканевых образцов ИВД, автоматическая» не соответствует закупаемому Заказчиком оборудованию, так как в рамках обжалуемой конкурентной процедуры Заказником не закупается медицинское оборудование, в связи с чем у Заказчика отсутствует обязанность применения при описании объекта закупки применять позицию КТРУ 26.60.12.119</w:t>
        <w:softHyphen/>
        <w:t>00000150 «Система обработки тканевых образцов ИВД, автоматическая».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Управления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доводы жалобы Заявителя не ашли своего подтверждения и являются необоснованными.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7" w:val="left"/>
        </w:tabs>
        <w:bidi w:val="0"/>
        <w:spacing w:before="0" w:after="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429895" distL="114300" distR="120015" simplePos="0" relativeHeight="125829382" behindDoc="0" locked="0" layoutInCell="1" allowOverlap="1">
                <wp:simplePos x="0" y="0"/>
                <wp:positionH relativeFrom="page">
                  <wp:posOffset>4656455</wp:posOffset>
                </wp:positionH>
                <wp:positionV relativeFrom="paragraph">
                  <wp:posOffset>12700</wp:posOffset>
                </wp:positionV>
                <wp:extent cx="2548255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8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действия ФГБНУ «НЦН»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66.65000000000003pt;margin-top:1.pt;width:200.65000000000001pt;height:19.900000000000002pt;z-index:-125829371;mso-wrap-distance-left:9.pt;mso-wrap-distance-right:9.4500000000000011pt;mso-wrap-distance-bottom:33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действия ФГБНУ «НЦН»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29895" distB="0" distL="144780" distR="114300" simplePos="0" relativeHeight="125829384" behindDoc="0" locked="0" layoutInCell="1" allowOverlap="1">
                <wp:simplePos x="0" y="0"/>
                <wp:positionH relativeFrom="page">
                  <wp:posOffset>4686935</wp:posOffset>
                </wp:positionH>
                <wp:positionV relativeFrom="paragraph">
                  <wp:posOffset>442595</wp:posOffset>
                </wp:positionV>
                <wp:extent cx="252349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определение поставщика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69.05000000000001pt;margin-top:34.850000000000001pt;width:198.70000000000002pt;height:19.900000000000002pt;z-index:-125829369;mso-wrap-distance-left:11.4pt;mso-wrap-distance-top:33.8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определение поставщика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«Лабхаус»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ограничения, наложенные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508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6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1.pt;width:149.30000000000001pt;height:19.699999999999999pt;z-index:-125829367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8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612140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94999999999999pt;margin-top:4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9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139700</wp:posOffset>
                </wp:positionV>
                <wp:extent cx="88074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8.85000000000002pt;margin-top:11.pt;width:69.350000000000009pt;height:19.699999999999999pt;z-index:-125829364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35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526ССЭ2Е48634А0964757620Е6ЕОАЕ90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1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435610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05000000000001pt;margin-top:34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