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3392170</wp:posOffset>
            </wp:positionH>
            <wp:positionV relativeFrom="paragraph">
              <wp:posOffset>12700</wp:posOffset>
            </wp:positionV>
            <wp:extent cx="768350" cy="84137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68350" cy="8413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  <w:bookmarkEnd w:id="0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 xml:space="preserve">по жалобе 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066/06/105-3709/2024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24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6028690</wp:posOffset>
                </wp:positionH>
                <wp:positionV relativeFrom="paragraph">
                  <wp:posOffset>12700</wp:posOffset>
                </wp:positionV>
                <wp:extent cx="755650" cy="1587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565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30.09.2024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74.69999999999999pt;margin-top:1.pt;width:59.5pt;height:12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30.09.2024 г.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по тексту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16-00, при участии представителей: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в лице Муниципального казённого учреждения «Управление коммунального хозяйства» — 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60" w:line="20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 в лице Департамента государственных закупок Свердловской области _ 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90" w:val="left"/>
        </w:tabs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в лице ИП Николайца Николая Николаевича — 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Николайца Николая Николаевича (вх. № 20984/24 от 25.09.2024) о нарушении заказчиком в лице Муниципального казённого учреждения «Управление коммунального хозяйства» при осуществлении закупки путем проведения электронного аукциона на выполнение работ по модернизации сетей уличного освещения (извещение № 0162200011824003225),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—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жалоба ИП Николайца Н.Н. (вх. № 20984/24 от 25.09.2024) о нарушении заказчиком в лице Муниципального казённого учреждения «Управление коммунального хозяйства» при осуществлении закупки путем проведения электронного аукциона на выполнение работ по модернизации сетей уличного освещения (извещение № 0162200011824003225)</w:t>
      </w:r>
      <w:r>
        <w:fldChar w:fldCharType="begin"/>
      </w:r>
      <w:r>
        <w:rPr/>
        <w:instrText> HYPERLINK "https://zakupki.gov.ru/epz/eruz/card/general-information.html?reestrNumber=19015506"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Закона о контрактной системе, соответствующая требованиям ст. 105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"https://zakupki.gov.ru/epz/eruz/card/general-information.html?reestrNumber=19015506"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системе.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указал, что сметная документация содержит указания на наименование модели светильника, свидетельствующей о конкретном производителе товара, и отсутствует сопровождение такого указания словами «или эквивалент».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 с доводами жалобы не согласились, просили признать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статьей 106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17.09.2024 г. на официальном сайте опубликовано извещение о проведении электронного аукциона № 0162200011824003225 на выполнение работ по модернизации сетей уличного освещения.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4 851 991,03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п.п. 1, 5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со статьей 33 настоящего Федерального закона;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5) проект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 ч. 1 ст.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9" w:val="left"/>
        </w:tabs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0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 (ч. 2 ст. 33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3 ст. 33 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п. 5 приложения к структурированной форме извещения «Описание объекта закупки» заказчик установил следующие требования к выполнению работ:</w:t>
      </w:r>
    </w:p>
    <w:tbl>
      <w:tblPr>
        <w:tblOverlap w:val="never"/>
        <w:jc w:val="center"/>
        <w:tblLayout w:type="fixed"/>
      </w:tblPr>
      <w:tblGrid>
        <w:gridCol w:w="432"/>
        <w:gridCol w:w="1416"/>
        <w:gridCol w:w="8232"/>
      </w:tblGrid>
      <w:tr>
        <w:trPr>
          <w:trHeight w:val="33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Требования к выполнению работ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5. При проведении работ использовать светодиодные уличные светильники, соответствующие критериям: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Мощность 100Вт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Световой поток не менее 21 000 Лм.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Светоотдача не менее, [лм/вт.]: 210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Цветовая температура, [К]: 5000.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Материал линзы РММА - оптический поликарбонат,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раскрытия светового потока ШБ.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Коэффициент пульсации (Кп), не более, [%]: 1.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Индекс цветопередачи (СМ), не менее: 80.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Диапазон напряжения питания не хуже, [В]: 90-305. Коэффициент мощности (РГ), не менее: 0,98.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Коэффициент полезного действия блока питания не менее 96%.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432"/>
        <w:gridCol w:w="1416"/>
        <w:gridCol w:w="8232"/>
      </w:tblGrid>
      <w:tr>
        <w:trPr>
          <w:trHeight w:val="92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Тип питания: АС (переменный ток).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Частота напряжения электропитания, [Гц]: 50.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Класс защиты от поражения электрическим током: I. Температура эксплуатации, [°С]: от -60 до +60.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Степень защиты: 1Р67.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Защита от короткого замыкания 8СР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Защита от низкого напряжения КУР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Защита от превышения входного напряжения ОVР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Защита от скачков тока при перегрузке ОСР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Защита от перегрева ОТР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Климатическое исполнение: УХЛ1.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Срок службы светильника, не менее, [лет]: 12.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Срок службы светодиодов, не менее, [ч]: 100 000.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Гарантийный срок, [мес]: 60.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Габаритные размеры корпуса: длина - не более 630 мм, ширина - не более 210 мм, высота - не более 85 мм,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Вес светильника не более 5,0 кг.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 поворотного кронштейна в диапазоне +/-20°.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Консольное крепление светильника для надежной фиксации должно иметь не менее трёх винтов крепления из нержавеющей стали.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Материал корпуса: изготовлен из анодированного алюминия методом литья под давлением, снаружи ударопрочная антикоррозийная краска.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Охлаждение - теплоотводом является корпус светильника.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Корпус светильника: не должен иметь радиаторов охлаждения и не должен требовать чистки корпуса от пыли, пуха, грязи и листвы.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Светильник должен иметь отдельные друг от друга оптический и электрический отсеки и снабжены невыпадающими метизами из нержавеющей стали.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Защита светильника: закаленное боросиликатное стекло с винтовой системой крепления защитного стекла обеспечивающее надежную защиту от попадания пыли внутрь светильника, а также предотвращающее выпадение стекла при вибрациях.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 противослепящей бленды - да.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Драйвер светильника не должен быть требователен к качеству сети.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светильнике количество светодиодов должно быть не менее 80 шт</w:t>
            </w:r>
            <w:r>
              <w:rPr>
                <w:color w:val="FF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Светильник должен быть оптимизирован для обслуживания и ремонта в периоде эксплуатации, а именно: матрица и драйвер не должны иметь пайки, соединение должно быть реализовано через коннекторы/клеммные колодки для простоты замены.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отмечает, что, в случае если проектно-сметная документация содержит указание на товарный знак, знак обслуживания, фирменное наименование, патент, полезную модель, промышленный образец, наименование страны происхождения товара, то заказчик в описании объекта закупки с целью соблюдения положений Закона о контрактной системе должен установить условие о возможности использования эквивалентного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установила, что заказчик в приложениях к структурированной форме извещения «Локальный сметный расчет» указал наименование модели светильника, свидетельствующей о конкретном производителе товара, IТ^-8^Е^005-Ю81-М 100^ без сопровождения словами «или эквивалент».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положениями Извещения не предусмотрена возможность использования эквивалентного товара при выполнении работ по муниципальному контракту.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Комиссией установлено, что в ходе процедуры закупки № 0162200011824000998, проводившейся для того же объекта закупки, заказчиком в извещении было предусмотрено подобное условие о наличии эквивалента.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действия Заказчика, установившего в проектно-сметной документации наименование модели светильника, свидетельствующей о конкретном производителе товара, без сопровождения словами «или эквивалент», нарушают п. 1 ч. 1 ст. 33, п. 1 ч. 2 ст. 42 Закона о контрактной системе и содержат признаки состава административного правонарушения, ответственность за совершение, которого предусмотрена частью 4.1 статьи 7.30 Кодекса Российской Федерации об административных 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статьей 99 Закона о контрактной системе, частью 8 статьи 106 Закона о контрактной системе,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2" w:val="left"/>
          <w:tab w:pos="142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ИП Николайца Николая Николаевича признать 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2" w:val="left"/>
          <w:tab w:pos="142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в лице Муниципального казённого учреждения «Управление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коммунального хозяйства» выявлены нарушения п. 1 ч. 1 ст. 33, п. 1 ч. 2 ст. 42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2" w:val="left"/>
          <w:tab w:pos="142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уполномоченного органа в лице Департамента государственных закупок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Свердловской области, закупочной комиссии нарушений Закона о контрактной системе не выявлено.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3" w:val="left"/>
          <w:tab w:pos="1446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 лице Муниципального казённого учреждения «Управление коммунального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хозяйства», уполномоченному органу в лице Департамента государственных закупок Свердловской области, закупочной комиссии, оператору электронной площадки выдать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3" w:val="left"/>
          <w:tab w:pos="1441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Обязать заказчика обеспечить явку должностного лица, подготовившего и разместившего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510" w:val="left"/>
          <w:tab w:pos="5663" w:val="left"/>
          <w:tab w:leader="underscore" w:pos="6826" w:val="left"/>
          <w:tab w:leader="underscore" w:pos="7507" w:val="left"/>
          <w:tab w:leader="underscore" w:pos="8693" w:val="left"/>
        </w:tabs>
        <w:bidi w:val="0"/>
        <w:spacing w:before="0" w:after="4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в единой информационной системе по закупке № 0162200011824003225, с документами,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адресу: г. Екатеринбург, ул. 8 марта, 5 / Химиков, 3, 4 этаж с объяснением по факту выявленного нарушения </w:t>
        <w:tab/>
        <w:tab/>
        <w:tab/>
        <w:t>20</w:t>
        <w:tab/>
        <w:t xml:space="preserve">г. в </w:t>
        <w:tab/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24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29" w:right="698" w:bottom="1225" w:left="109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3359150</wp:posOffset>
            </wp:positionH>
            <wp:positionV relativeFrom="paragraph">
              <wp:posOffset>0</wp:posOffset>
            </wp:positionV>
            <wp:extent cx="768350" cy="83502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68350" cy="8350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60" w:line="29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  <w:bookmarkEnd w:id="4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066/06/105-3709/2024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о контрактной системе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6026150</wp:posOffset>
                </wp:positionH>
                <wp:positionV relativeFrom="paragraph">
                  <wp:posOffset>12700</wp:posOffset>
                </wp:positionV>
                <wp:extent cx="755650" cy="16129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565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30.09.2024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4.5pt;margin-top:1.pt;width:59.5pt;height:12.7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30.09.2024 г.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8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8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№ 066/06/105-3709/2024 от 30.09.2024 г., в соответствии с п. 2 ч. 22 ст. 99 Закона о контрактной системе,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10"/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0" w:val="left"/>
          <w:tab w:pos="431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лице Муниципального казённого учреждения «Управление коммунального хозяйства», уполномоченному органу в лице Департамента государственных закупок Свердловской области, закупочной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28 октября 2024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нарушения Закона о контрактной системе, установленные решением №</w:t>
        <w:tab/>
        <w:t>066/06/105-3709/2024 от 30.09.2024 г. (извещение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0162200011824003225) путем отзыва карточки контракта, отмены составленных протоколов, внесения изменений в извещение о проведении электронного аукциона в части устранения выявленных нарушений,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 обеспечить исполнение пункта 1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0" w:val="left"/>
        </w:tabs>
        <w:bidi w:val="0"/>
        <w:spacing w:before="0" w:after="2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лице Муниципального казённого учреждения «Управление коммунального хозяйства»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01 ноября 2024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Свердловское УФАС России копию документа, подтверждающего выполнение пункта 1 настоящего предписания, в том числе посредством факсимильной связи: (343) 377-00-84 или на адрес электронной почты:</w:t>
      </w:r>
      <w:r>
        <w:fldChar w:fldCharType="begin"/>
      </w:r>
      <w:r>
        <w:rPr/>
        <w:instrText> HYPERLINK "mailto:to66@fas.gov.ru"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1обб@й8^оу.ги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Свердловского УФАС России обращает внимание, что частью 7 статьи 19.5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605" w:val="left"/>
        </w:tabs>
        <w:bidi w:val="0"/>
        <w:spacing w:before="0" w:after="320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pgSz w:w="11900" w:h="16840"/>
      <w:pgMar w:top="1551" w:right="1076" w:bottom="1551" w:left="110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3742690</wp:posOffset>
              </wp:positionH>
              <wp:positionV relativeFrom="page">
                <wp:posOffset>485140</wp:posOffset>
              </wp:positionV>
              <wp:extent cx="6731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94.69999999999999pt;margin-top:38.200000000000003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Заголовок №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Подпись к таблиц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Друго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auto"/>
      <w:spacing w:after="25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Подпись к таблице"/>
    <w:basedOn w:val="Normal"/>
    <w:link w:val="CharStyle12"/>
    <w:pPr>
      <w:widowControl w:val="0"/>
      <w:shd w:val="clear" w:color="auto" w:fill="auto"/>
      <w:ind w:firstLine="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Другое"/>
    <w:basedOn w:val="Normal"/>
    <w:link w:val="CharStyle14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