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03.10.2024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40843/24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03.10.2024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40843/24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«НЭО ДИСК»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23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9267090399@та1.ги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Восточное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Дегунино»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06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1е11с1ег^4@таП.П1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депШгсот§ао@рпао.то8.ги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20" w:line="214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077/06/106-13386/2024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711835</wp:posOffset>
                </wp:positionH>
                <wp:positionV relativeFrom="paragraph">
                  <wp:posOffset>25400</wp:posOffset>
                </wp:positionV>
                <wp:extent cx="826135" cy="25908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30.09.2024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050000000000004pt;margin-top:2.pt;width:65.049999999999997pt;height:20.400000000000002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30.09.2024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«НЭО ДИСК»: Свешникова А.А. (по доверенности № б/н от 24.09.2024);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САО»: Молоковой П.В. (по доверенности № Д-7-7/24 от 09.01.2024);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 «Жилищник района Восточное Дегунино»,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«НЭО ДИСК» (далее — Заявитель) на действия ГБУ «Жилищник района Восточное Дегунино» (далее — Заказчик) при проведении электронного аукциона на право заключения контракта на поставку расходных материалов для спецтехники ГБУ «Жилищник» районов Восточное Дегунино, Головинский, Коптево, Левобережный, Молжаниновский, Сокол, Тимирязевский, Ховрино в 2024 году (Закупка №0373200018824000999) (далее -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рассмотрены документы и сведения, запрашиваемые посредством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40" w:line="305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2024-46296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описанию объекта закупки Заказчиком установлены требования к расходным материалам для спецтехники, в том числе, установленные в Приложении 1 к Техническому заданию «Перечень объектов закупки»: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расходного материала: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КАМАЗ; МТЗ.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КАМАЗ. - Пластина техническая.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КАМАЗ. - Нож ковша.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8^^О; Кгатег; Сазе.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отвала.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ЛИГ; 8^^О; АП1у; Кгатег.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Тупса.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КАМАЗ; ВисЪег; ^окп8^оп.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общий расчет НМЦК содержит 28 единиц требуемого к поставке товара, при этом Приложение 1 к Техническому заданию «Перечень объектов закупки» и Приложение 2 к Техническому заданию «СПЕЦИФИКАЦИЯ» содержат требование заказчиков о поставке 51 единицы требуемого товара, что вводит участников закупки в заблуждение.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4" w:right="541" w:bottom="72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2024-46296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возражения на жалобу и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Комиссией Управления представитель Заказчика пояснил, что Заказчиками организована и размещена совместная закупочная процедура на поставку расходных материалов для спецтехники ГБУ «Жилищник» районов САО г. Москвы. В закупочной процедуре участвуют восемь Заказчиков.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размещенному в составе извещения файлу «Общий расчет НМЦК» содержит в себе 28 единиц требуемого к поставке товара, это общая потребность всех участников закупки. Расчет произведен методом анализа рыночных цен в соответствии с требованиями Распоряжения Правительства Москвы от 16.05.2014 № 242-РП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Общий расчет НМЦК содержит в себе информацию о ценовых предложениях общего количества требуемого к поставке товара. При формировании совместной закупочной процедуры в системе ЕАИСТ каждый участник такой процедуры формирует свою спецификацию в системе и указывает свою потребность и адрес поставки. Соответственно при использовании стандартизированной (типовой) формы технического задания, информация по перечень объектов закупки (перечень, требуемого к поставке товара), в том числе и аналогичных товаров, формируется исходя из потребности каждого заказчика по указанному в спецификации адресу.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Техническое задание и его приложения содержат в себе 51 единицу требуемого к поставке товара, разделенного с учетом потребности каждого участника совместной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Управления, а также в составе жалобы Заявителем не представлено доказательств того обстоятельства, что установленные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Список требуемого к поставке товара, содержащийся в Приложении 1 к Техническому заданию «Перечень объектов закупки», не соответствует списку товаров в Приложении 2 к Техническому заданию «СПЕЦИФИКАЦИЯ», например: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Приложение 1 к Техническому заданиюПриложение 2 к Техническому заданию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25400</wp:posOffset>
                </wp:positionV>
                <wp:extent cx="2346960" cy="92075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6960" cy="920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п/п «Перечень объектов закупки»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hd w:val="clear" w:color="auto" w:fill="auto"/>
                              <w:tabs>
                                <w:tab w:pos="3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Тупса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hd w:val="clear" w:color="auto" w:fill="auto"/>
                              <w:tabs>
                                <w:tab w:pos="3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Нож отвала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hd w:val="clear" w:color="auto" w:fill="auto"/>
                              <w:tabs>
                                <w:tab w:pos="3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Пластина техническая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hd w:val="clear" w:color="auto" w:fill="auto"/>
                              <w:tabs>
                                <w:tab w:pos="3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Нож ковша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550000000000004pt;margin-top:2.pt;width:184.80000000000001pt;height:72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п/п «Перечень объектов закупки»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9"/>
                        </w:numPr>
                        <w:shd w:val="clear" w:color="auto" w:fill="auto"/>
                        <w:tabs>
                          <w:tab w:pos="3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Тупса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9"/>
                        </w:numPr>
                        <w:shd w:val="clear" w:color="auto" w:fill="auto"/>
                        <w:tabs>
                          <w:tab w:pos="3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Нож отвала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9"/>
                        </w:numPr>
                        <w:shd w:val="clear" w:color="auto" w:fill="auto"/>
                        <w:tabs>
                          <w:tab w:pos="3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Пластина техническая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9"/>
                        </w:numPr>
                        <w:shd w:val="clear" w:color="auto" w:fill="auto"/>
                        <w:tabs>
                          <w:tab w:pos="3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Нож ковша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«СПЕЦИФИКАЦИЯ»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Диск щёточный 120*550 беспроставочный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Диск щёточный 180*550 беспроставочный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Диск щеточный 100х400 мм беспроставочный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061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Техпластина армированная с тросом 1000х250х50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3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711835</wp:posOffset>
                </wp:positionH>
                <wp:positionV relativeFrom="paragraph">
                  <wp:posOffset>12700</wp:posOffset>
                </wp:positionV>
                <wp:extent cx="1161415" cy="21653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5 Щетка осевая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6.050000000000004pt;margin-top:1.pt;width:91.450000000000003pt;height:17.0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5 Щетка осевая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Техпластина ТМКЩ 500х500х40 (3рч230-1) армированная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 пояснил, что при сохранении файла система хаотично меняет порядковые номера позиций в приложении №1 «Перечень объектов закупки». При этом приложение №1 Технического задания «Перечень объектов закупки» практически не содержит в себе характеристик, так как в справочнике отсутствует возможность иного выбора. Для полного понимания требуемых к поставке товаров, Заказчиками сформировано приложение № 2 «Спецификация».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исходя из смысла ст.33 Закона о контрактной системе Заказчик должен сформировать свою потребность, что подразумевает установление к товарам таких требований, которые соответствуют необходимости Заказчика и являются допустимыми для закупаемого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согласно протоколу подведения итогов определения поставщика (подрядчика, исполнителя) от 30.09.2024 №ИЭА1 на участие в данной закупочной процедуре подано четыре заявки участников закупки, соответствующие требованиям извещения, что свидетельствует о возможности подать заявку на условиях извещения и описания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разночтение в номерах закупаемых позиций в описании объекта закупки не может свидетельствовать о нарушении Заказчиком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Приложение 2 к Техническому заданию «СПЕЦИФИКАЦИЯ» содержит требование о поставке двух товаров с количеством 16 шт.,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 Нож для ковша (приварной) 2500*210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 Нож ковша 2500*300*20 8^^О 944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заказчики не устанавливают принадлежность товара к технике, либо она установлена как принадлежность к технике марки 8^^О 944.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1 к Техническому заданию «Перечень объектов закупки» также содержит требование о поставке двух товаров с количеством 16 шт.,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Пластина техническая. Марка спецтехники: КАМАЗ; ВисЪег; ^окп8^оп.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 Марка спецтехники: ЗИЛ; КАМАЗ; МАЗ; МТЗ.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7" w:right="546" w:bottom="682" w:left="1106" w:header="0" w:footer="25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этом на заседании Комиссии Управления представителем Заявителя снят вышеуказанный довод жалобы, так как Заказчиком внесены изменения в приложение №1 Технического задания «Перечень объектов закупки» позиция «Нож ковша, марка техники 8^^О», в приложения №2 к Техническому заданию «Спецификация» в позицию «Нож для ковша (приварной) 2500*210, марка техники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2024-46296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АМКАДОР».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описание объекта закупки содержит противоречивые положения для закупаемых товаров, которые могут ввести в заблуждение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в том числе на следующие нарушения: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2 к Техническому заданию «СПЕЦИФИКАЦИЯ» содержится требование о поставке товара: п. 14 «Лотковая щетка для МВП» в количестве 50 шт. и п. 23 «Лотковая щетка для ВисЪег СИуНап! 6000» в количестве 8 шт., при этом в Приложении 1 к Техническому заданию «Перечень объектов закупки» товары с наименованием «Лотковая щетка для МВП» и «Лотковая щетка для Вис11ег СПуНап! 6000» отсутствуют.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2 к Техническому заданию «СПЕЦИФИКАЦИЯ» содержит требование на поставку как дисков щеточных беспроставочных так и дисков щеточных, например: п. 1 «Диск щёточный 120*550 беспроставочный» и п. 15 «Диск щёточный 120*550». Приложении 1 к Техническому заданию «Перечень объектов закупки» содержит требование на поставку только дисков щеточных бе спроставочных.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2 к Техническому заданию «СПЕЦИФИКАЦИЯ» содержит требование о поставке трех товаров с количеством 4 шт.,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 Катридж средней щетки ВисЪег СйуГап 6000;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 Щетка задния МТЗ 82,1;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 Щетка средняя ЭД-244.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заказчики устанавливают принадлежность данных товаров к технике: ВисЪег СйуЕап 6000, МТЗ 82,1, ЭД-244.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Приложении 1 к Техническому заданию «Перечень объектов закупки» также содержит требование о поставке трех товаров с количеством 4 шт.,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Пластина техническая. Марка спецтехники: МТЗ.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ковша. Марка спецтехники: 8^^О; Кгатег; Сазе.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 Марка спецтехники: ЗИЛ; КАМАЗ; МАЗ; МТЗ.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составе жалобы указывает, что требуемый к поставке товар из Приложения 1 к Техническому заданию «Перечень объектов закупки» с наименованием «Щетка осевая» и принадлежностью к марке техники КАМАЗ невозможно однозначно идентифицировать с товаром из Приложения 2 к Техническому заданию «СПЕЦИФИКАЦИЯ» ввиду отсутствия товара с таким наименованием и принадлежностью к технике марки КАМАЗ.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различий в принадлежности к маркам техники невозможно однозначно определить требуемый к поставке товар.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Приложение 2 к Техническому заданию «СПЕЦИФИКАЦИЯ» содержит требование о поставке товара с наименованием «Диск щеточный с металлической обоймой 180*700», при этом в Приложении 1 к Техническому заданию «Перечень объектов закупки» наличествует только товар «Диск щёточный беспроставочный», без указания на наличие металлической обоймы, что не позволяет однозначно идентифицировать товар.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описание объекта закупочной процедуры не должно вводить участника закупки в заблуждение путем включения двусмысленных толкований, разночтений, следовательно, исходя из вышеизложенного Комиссия Управления приходит к выводу, что положения извещения сформированы Заказчиком таким образом, что не позволяют участникам закупки представить сведения о закупаемых товарах надлежащим образом.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01.10.2023 года при проведении электронных процедур, закрытых электронных процедур характеристики объекта закупки указываются с использованием Единой информационной системы при формировании извещения о закупке, приглашения принять участие в определении поставщика (подрядчика, исполнителя) (Постановление Правительства РФ от 31.10.2022 № 1946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нужд, закупок товаров, работ, услуг отдельными видами юридических лиц и признании утратившими силу постановления Правительства Российской Федерации от 26 сентября 1997 г. №1222 и отдельных положений некоторых актов Правительства Российской Федерации»).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установленных пп. «а», «б» п.5 Правил использования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указываются с использованием единой информационной системы при формировании извещения об осуществлении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описание объекта закупки содержит, в том числе следующие требования к закупаемым товарам: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Приложение 1 к Техническому заданию: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расходного материала: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КАМАЗ; МТЗ.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беспроставочный.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Пластина техническая.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ковша.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8^^О; Кгатег; Сазе.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отвала.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ЛИГ; 8^^О; АП1у; Кгатег.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Тупса.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Марка спецтехники: КАМАЗ; ВисЪег; ^окп8^оп.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Приложение 2 к Техническому заданию СПЕЦИФИКАЦИЯ: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Тупса пластиковая ^=350 мм 47х17 мм., шт 2000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отвала ЛАГ 2000 мм., шт 6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Техпластина армированная с тросом 1000*250*40., шт 100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ковша 3000*300*30 мм., шт 9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Щетка средняя ЭД-244 КАМАЗ шт., 4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Щетка задния МТЗ 82,1 шт., 4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120*550 беспроставочный шт., 3500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180*550 беспроставочный шт., 3500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щеточный с металлической обоймой 180*700 шт., 1000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Тупса полипропиленовая ^=270 мм 47х17 шт., 800 мм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120*400 беспроставочный шт., 100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ковша ЛАГ 2000 мм шт., 16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ковша 2500*300*20 8^^О 944 шт., 16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110*400 шт., 100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120*550 беспроставочный шт., 5000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Диск щёточный 180*550 беспроставочный шт., 4000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 отвала СТ 65Г 2200*300*20 шт., 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 своей сути описание объекта содержит в себе требования к товарам, которые являются значимыми для Заказчика, в противном случае, Заказчик не включал бы самостоятельно такие требования в состав технического задания, при этом, требования к характеристикам товаров отраженные в описании объекта закупки должны быть отражены в структурированной форме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ч.6 ст23, п.1 ч.1, ч.2 ст.33, п.5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«НЭО ДИСК» на действия ГБУ «Жилищник района Восточное Дегунино» обоснованной в части неправомерного описания объекта закупки.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ч.6 ст23, п.1 ч.1 ст.33, п.1 ч.2 ст.42, п.5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34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63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45415" distB="185420" distL="0" distR="0" simplePos="0" relativeHeight="125829387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145415</wp:posOffset>
                </wp:positionV>
                <wp:extent cx="185039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5pt;margin-top:11.450000000000001pt;width:145.70000000000002pt;height:19.699999999999999pt;z-index:-125829366;mso-wrap-distance-left:0;mso-wrap-distance-top:11.450000000000001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9" behindDoc="0" locked="0" layoutInCell="1" allowOverlap="1">
            <wp:simplePos x="0" y="0"/>
            <wp:positionH relativeFrom="page">
              <wp:posOffset>3016250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3409315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8.44999999999999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90" behindDoc="0" locked="0" layoutInCell="1" allowOverlap="1">
                <wp:simplePos x="0" y="0"/>
                <wp:positionH relativeFrom="page">
                  <wp:posOffset>6316980</wp:posOffset>
                </wp:positionH>
                <wp:positionV relativeFrom="paragraph">
                  <wp:posOffset>127000</wp:posOffset>
                </wp:positionV>
                <wp:extent cx="88074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7.40000000000003pt;margin-top:10.pt;width:69.350000000000009pt;height:19.699999999999999pt;z-index:-125829363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0084Е434Е5152Р57С032С1780ВА4А68226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по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354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9410" distL="0" distR="0" simplePos="0" relativeHeight="125829392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5pt;margin-top:7.pt;width:105.60000000000001pt;height:19.699999999999999pt;z-index:-125829361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94" behindDoc="0" locked="0" layoutInCell="1" allowOverlap="1">
            <wp:simplePos x="0" y="0"/>
            <wp:positionH relativeFrom="page">
              <wp:posOffset>2994660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1.80000000000001pt;margin-top:44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3409315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8.44999999999999pt;margin-top:19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9410" distL="0" distR="0" simplePos="0" relativeHeight="125829395" behindDoc="0" locked="0" layoutInCell="1" allowOverlap="1">
                <wp:simplePos x="0" y="0"/>
                <wp:positionH relativeFrom="page">
                  <wp:posOffset>5829300</wp:posOffset>
                </wp:positionH>
                <wp:positionV relativeFrom="paragraph">
                  <wp:posOffset>88900</wp:posOffset>
                </wp:positionV>
                <wp:extent cx="1337945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59.pt;margin-top:7.pt;width:105.35000000000001pt;height:19.699999999999999pt;z-index:-125829358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2Р366ЕСЗОЕЕ90208968ЕА4В2С7060465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20.05.2024 по 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97" behindDoc="0" locked="0" layoutInCell="1" allowOverlap="1">
            <wp:simplePos x="0" y="0"/>
            <wp:positionH relativeFrom="page">
              <wp:posOffset>3016250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3409315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8.44999999999999pt;margin-top:11.7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4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00803Р817690Р8688001Р612СЗС6В74577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10295255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810.64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00000000000004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800000000000004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426720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3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3896995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85000000000002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426720</wp:posOffset>
              </wp:positionV>
              <wp:extent cx="6731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0000000000002pt;margin-top:33.600000000000001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3896995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6.85000000000002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  <w:ind w:left="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