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1016635</wp:posOffset>
                </wp:positionH>
                <wp:positionV relativeFrom="paragraph">
                  <wp:posOffset>45720</wp:posOffset>
                </wp:positionV>
                <wp:extent cx="2045335" cy="301625"/>
                <wp:wrapSquare wrapText="bothSides"/>
                <wp:docPr id="7" name="Shape 7"/>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3" type="#_x0000_t202" style="position:absolute;margin-left:80.049999999999997pt;margin-top:3.6000000000000001pt;width:161.05000000000001pt;height:23.75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r>
        <mc:AlternateContent>
          <mc:Choice Requires="wps">
            <w:drawing>
              <wp:anchor distT="0" distB="0" distL="0" distR="0" simplePos="0" relativeHeight="125829380" behindDoc="0" locked="0" layoutInCell="1" allowOverlap="1">
                <wp:simplePos x="0" y="0"/>
                <wp:positionH relativeFrom="page">
                  <wp:posOffset>805815</wp:posOffset>
                </wp:positionH>
                <wp:positionV relativeFrom="paragraph">
                  <wp:posOffset>469265</wp:posOffset>
                </wp:positionV>
                <wp:extent cx="2435225" cy="1408430"/>
                <wp:wrapSquare wrapText="bothSides"/>
                <wp:docPr id="9" name="Shape 9"/>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03.10.2024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40782/24</w:t>
                            </w:r>
                          </w:p>
                        </w:txbxContent>
                      </wps:txbx>
                      <wps:bodyPr lIns="0" tIns="0" rIns="0" bIns="0">
                        <a:noAutoFit/>
                      </wps:bodyPr>
                    </wps:wsp>
                  </a:graphicData>
                </a:graphic>
              </wp:anchor>
            </w:drawing>
          </mc:Choice>
          <mc:Fallback>
            <w:pict>
              <v:shape id="_x0000_s1035" type="#_x0000_t202" style="position:absolute;margin-left:63.450000000000003pt;margin-top:36.950000000000003pt;width:191.75pt;height:110.90000000000001pt;z-index:-125829373;mso-wrap-distance-left:0;mso-wrap-distance-right:0;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03.10.2024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40782/24</w:t>
                      </w:r>
                    </w:p>
                  </w:txbxContent>
                </v:textbox>
                <w10:wrap type="square" anchorx="page"/>
              </v:shape>
            </w:pict>
          </mc:Fallback>
        </mc:AlternateContent>
      </w:r>
    </w:p>
    <w:p>
      <w:pPr>
        <w:pStyle w:val="Style9"/>
        <w:keepNext w:val="0"/>
        <w:keepLines w:val="0"/>
        <w:widowControl w:val="0"/>
        <w:shd w:val="clear" w:color="auto" w:fill="auto"/>
        <w:bidi w:val="0"/>
        <w:spacing w:before="0" w:after="0" w:line="240" w:lineRule="auto"/>
        <w:ind w:left="1320" w:right="0" w:firstLine="0"/>
        <w:jc w:val="left"/>
      </w:pPr>
      <w:r>
        <w:rPr>
          <w:color w:val="000000"/>
          <w:spacing w:val="0"/>
          <w:w w:val="100"/>
          <w:position w:val="0"/>
          <w:shd w:val="clear" w:color="auto" w:fill="auto"/>
          <w:lang w:val="ru-RU" w:eastAsia="ru-RU" w:bidi="ru-RU"/>
        </w:rPr>
        <w:t>ООО «МИРТУС»</w:t>
      </w:r>
    </w:p>
    <w:p>
      <w:pPr>
        <w:pStyle w:val="Style9"/>
        <w:keepNext w:val="0"/>
        <w:keepLines w:val="0"/>
        <w:widowControl w:val="0"/>
        <w:shd w:val="clear" w:color="auto" w:fill="auto"/>
        <w:bidi w:val="0"/>
        <w:spacing w:before="0" w:after="200" w:line="211" w:lineRule="auto"/>
        <w:ind w:left="1320" w:right="0" w:firstLine="0"/>
        <w:jc w:val="left"/>
      </w:pPr>
      <w:r>
        <w:rPr>
          <w:color w:val="000000"/>
          <w:spacing w:val="0"/>
          <w:w w:val="100"/>
          <w:position w:val="0"/>
          <w:shd w:val="clear" w:color="auto" w:fill="auto"/>
          <w:lang w:val="ru-RU" w:eastAsia="ru-RU" w:bidi="ru-RU"/>
        </w:rPr>
        <w:t>1еп4ег@тн1и8.ги</w:t>
      </w:r>
    </w:p>
    <w:p>
      <w:pPr>
        <w:pStyle w:val="Style9"/>
        <w:keepNext w:val="0"/>
        <w:keepLines w:val="0"/>
        <w:widowControl w:val="0"/>
        <w:shd w:val="clear" w:color="auto" w:fill="auto"/>
        <w:bidi w:val="0"/>
        <w:spacing w:before="0" w:after="0" w:line="240" w:lineRule="auto"/>
        <w:ind w:left="1320" w:right="0" w:firstLine="0"/>
        <w:jc w:val="left"/>
      </w:pPr>
      <w:r>
        <w:rPr>
          <w:color w:val="000000"/>
          <w:spacing w:val="0"/>
          <w:w w:val="100"/>
          <w:position w:val="0"/>
          <w:shd w:val="clear" w:color="auto" w:fill="auto"/>
          <w:lang w:val="ru-RU" w:eastAsia="ru-RU" w:bidi="ru-RU"/>
        </w:rPr>
        <w:t>ГБУЗ ММНКЦ им. С.П. Боткина ДЗМ</w:t>
      </w:r>
    </w:p>
    <w:p>
      <w:pPr>
        <w:pStyle w:val="Style9"/>
        <w:keepNext w:val="0"/>
        <w:keepLines w:val="0"/>
        <w:widowControl w:val="0"/>
        <w:shd w:val="clear" w:color="auto" w:fill="auto"/>
        <w:bidi w:val="0"/>
        <w:spacing w:before="0" w:after="0" w:line="204" w:lineRule="auto"/>
        <w:ind w:left="1320" w:right="0" w:firstLine="0"/>
        <w:jc w:val="left"/>
        <w:sectPr>
          <w:footnotePr>
            <w:pos w:val="pageBottom"/>
            <w:numFmt w:val="decimal"/>
            <w:numRestart w:val="continuous"/>
          </w:footnotePr>
          <w:type w:val="continuous"/>
          <w:pgSz w:w="11900" w:h="16840"/>
          <w:pgMar w:top="298" w:right="537" w:bottom="621" w:left="5105" w:header="0" w:footer="3" w:gutter="0"/>
          <w:cols w:space="720"/>
          <w:noEndnote/>
          <w:rtlGutter w:val="0"/>
          <w:docGrid w:linePitch="360"/>
        </w:sectPr>
      </w:pPr>
      <w:r>
        <w:rPr>
          <w:color w:val="000000"/>
          <w:spacing w:val="0"/>
          <w:w w:val="100"/>
          <w:position w:val="0"/>
          <w:shd w:val="clear" w:color="auto" w:fill="auto"/>
          <w:lang w:val="ru-RU" w:eastAsia="ru-RU" w:bidi="ru-RU"/>
        </w:rPr>
        <w:t>1е1к1ег@Ьо11&lt;тто8со\\\п1</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98" w:right="0" w:bottom="649" w:left="0" w:header="0" w:footer="3" w:gutter="0"/>
          <w:cols w:space="720"/>
          <w:noEndnote/>
          <w:rtlGutter w:val="0"/>
          <w:docGrid w:linePitch="360"/>
        </w:sectPr>
      </w:pPr>
    </w:p>
    <w:p>
      <w:pPr>
        <w:widowControl w:val="0"/>
        <w:spacing w:line="360" w:lineRule="exact"/>
      </w:pPr>
      <w:r>
        <w:drawing>
          <wp:anchor distT="0" distB="0" distL="0" distR="0" simplePos="0" relativeHeight="62914695" behindDoc="1" locked="0" layoutInCell="1" allowOverlap="1">
            <wp:simplePos x="0" y="0"/>
            <wp:positionH relativeFrom="page">
              <wp:posOffset>727075</wp:posOffset>
            </wp:positionH>
            <wp:positionV relativeFrom="paragraph">
              <wp:posOffset>12700</wp:posOffset>
            </wp:positionV>
            <wp:extent cx="2597150" cy="70104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2597150" cy="701040"/>
                    </a:xfrm>
                    <a:prstGeom prst="rect"/>
                  </pic:spPr>
                </pic:pic>
              </a:graphicData>
            </a:graphic>
          </wp:anchor>
        </w:drawing>
      </w:r>
    </w:p>
    <w:p>
      <w:pPr>
        <w:widowControl w:val="0"/>
        <w:spacing w:line="360" w:lineRule="exact"/>
      </w:pP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298" w:right="536" w:bottom="649" w:left="1106" w:header="0" w:footer="3" w:gutter="0"/>
          <w:cols w:space="720"/>
          <w:noEndnote/>
          <w:rtlGutter w:val="0"/>
          <w:docGrid w:linePitch="360"/>
        </w:sectPr>
      </w:pPr>
    </w:p>
    <w:p>
      <w:pPr>
        <w:widowControl w:val="0"/>
        <w:spacing w:before="73" w:after="7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7" w:right="0" w:bottom="754"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5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077/06/106-13310/2024 о нарушении</w:t>
        <w:br/>
        <w:t>законодательства о контрактной системе</w:t>
        <w:br/>
        <w:t>30.09.2024</w:t>
        <w:tab/>
        <w:t>г. Москва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Н.А. Узкого,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разряда отдела обжалования государственных закупок М.О. Мацневой,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отсутствие представителей ООО «МИРТУС» и ГБУЗ ММНКЦ им. С.П. Боткина ДЗМ,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9"/>
        <w:keepNext w:val="0"/>
        <w:keepLines w:val="0"/>
        <w:widowControl w:val="0"/>
        <w:shd w:val="clear" w:color="auto" w:fill="auto"/>
        <w:bidi w:val="0"/>
        <w:spacing w:before="0" w:after="480"/>
        <w:ind w:left="0" w:right="0" w:firstLine="700"/>
        <w:jc w:val="both"/>
      </w:pPr>
      <w:r>
        <w:rPr>
          <w:color w:val="000000"/>
          <w:spacing w:val="0"/>
          <w:w w:val="100"/>
          <w:position w:val="0"/>
          <w:shd w:val="clear" w:color="auto" w:fill="auto"/>
          <w:lang w:val="ru-RU" w:eastAsia="ru-RU" w:bidi="ru-RU"/>
        </w:rPr>
        <w:t>рассмотрев жалобу ООО «МИРТУС» (далее — Заявитель) на действия ГБУЗ ММНКЦ им. С.П. Боткина ДЗМ (далее — Заказчик) при проведении электронного аукциона на право заключения контракта на поставку лекарственных средств (МНН Винорелбин) для нужд ГБУЗ ММНКЦ имени С.П. Боткина ДЗМ. Закупка среди субъектов малого предпринимательства (Закупка №0373200045224001797) (далее - электронный аукцион) в соответствии с Федеральным законом от 05.04.2013 №44- ФЗ «О контрактной системе в сфере закупок товаров, работ, услуг для обеспечения</w:t>
      </w:r>
    </w:p>
    <w:p>
      <w:pPr>
        <w:pStyle w:val="Style14"/>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660"/>
        <w:ind w:left="0" w:right="0" w:firstLine="0"/>
        <w:jc w:val="both"/>
      </w:pPr>
      <w:r>
        <w:rPr>
          <w:color w:val="000000"/>
          <w:spacing w:val="0"/>
          <w:w w:val="100"/>
          <w:position w:val="0"/>
          <w:shd w:val="clear" w:color="auto" w:fill="auto"/>
          <w:lang w:val="ru-RU" w:eastAsia="ru-RU" w:bidi="ru-RU"/>
        </w:rPr>
        <w:t>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260"/>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электронного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 мнению Заявителя, закупочной комиссией Заказчика безосновательно признано победителем ООО «ФАРМАФОНД», нарушив тем самым положения Закона о контрактной системе по причине неприменения условий допуска товаров, установленных в соответствии с приказом Министерства Финансов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несмотря на то, что положения Постановления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№1289) применялись.</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20.09.2024 №ИЭА1 заявки участников аукциона с идентификационными номерами 1066086, 1064155 признаны комиссией по осуществлению закупок Заказчика соответствующими, при этом участник ООО «ФАРМАФОНД», с идентификационным номером заявки 1064155 и предложением о цене контракта 1 164 150,00 руб., признано победителем электронного аукциона.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9"/>
        <w:keepNext w:val="0"/>
        <w:keepLines w:val="0"/>
        <w:widowControl w:val="0"/>
        <w:shd w:val="clear" w:color="auto" w:fill="auto"/>
        <w:bidi w:val="0"/>
        <w:spacing w:before="0" w:after="460" w:line="298" w:lineRule="auto"/>
        <w:ind w:left="0" w:right="0" w:firstLine="700"/>
        <w:jc w:val="both"/>
        <w:rPr>
          <w:sz w:val="22"/>
          <w:szCs w:val="22"/>
        </w:rPr>
        <w:sectPr>
          <w:footnotePr>
            <w:pos w:val="pageBottom"/>
            <w:numFmt w:val="decimal"/>
            <w:numRestart w:val="continuous"/>
          </w:footnotePr>
          <w:type w:val="continuous"/>
          <w:pgSz w:w="11900" w:h="16840"/>
          <w:pgMar w:top="1067" w:right="536" w:bottom="754"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w:t>
      </w:r>
      <w:r>
        <w:rPr>
          <w:rFonts w:ascii="Cambria" w:eastAsia="Cambria" w:hAnsi="Cambria" w:cs="Cambria"/>
          <w:color w:val="000000"/>
          <w:spacing w:val="0"/>
          <w:w w:val="100"/>
          <w:position w:val="0"/>
          <w:sz w:val="22"/>
          <w:szCs w:val="22"/>
          <w:shd w:val="clear" w:color="auto" w:fill="auto"/>
          <w:lang w:val="ru-RU" w:eastAsia="ru-RU" w:bidi="ru-RU"/>
        </w:rPr>
        <w:t>2024-46041</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Постановлением № 1289 установлен перечень отдельных видов жизненно необходимых и важнейших лекарственных препаратов (далее - лекарственный </w:t>
      </w:r>
      <w:r>
        <w:rPr>
          <w:color w:val="000000"/>
          <w:spacing w:val="0"/>
          <w:w w:val="100"/>
          <w:position w:val="0"/>
          <w:shd w:val="clear" w:color="auto" w:fill="auto"/>
          <w:lang w:val="ru-RU" w:eastAsia="ru-RU" w:bidi="ru-RU"/>
        </w:rPr>
        <w:t>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(далее — Перечень).</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согласно извещению об осуществлении закупки, объектом закупки является поставка товаров (Гепарин натрия), при этом лекарственный препарат Гепарин натрия включен в Перечень.</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Комиссией Управления установлено, что, согласно извещению об осуществлении закупки, Заказчиком в установлены условия допуска для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в соответствии с Приказом №126н, а также установлены ограничения, предусмотренные Постановлением №1289.</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 Постановления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9"/>
        <w:keepNext w:val="0"/>
        <w:keepLines w:val="0"/>
        <w:widowControl w:val="0"/>
        <w:numPr>
          <w:ilvl w:val="0"/>
          <w:numId w:val="1"/>
        </w:numPr>
        <w:shd w:val="clear" w:color="auto" w:fill="auto"/>
        <w:tabs>
          <w:tab w:pos="1426" w:val="left"/>
        </w:tabs>
        <w:bidi w:val="0"/>
        <w:spacing w:before="0" w:after="0"/>
        <w:ind w:left="0" w:right="0" w:firstLine="70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9"/>
        <w:keepNext w:val="0"/>
        <w:keepLines w:val="0"/>
        <w:widowControl w:val="0"/>
        <w:numPr>
          <w:ilvl w:val="0"/>
          <w:numId w:val="1"/>
        </w:numPr>
        <w:shd w:val="clear" w:color="auto" w:fill="auto"/>
        <w:tabs>
          <w:tab w:pos="1426" w:val="left"/>
        </w:tabs>
        <w:bidi w:val="0"/>
        <w:spacing w:before="0" w:after="0"/>
        <w:ind w:left="0" w:right="0" w:firstLine="700"/>
        <w:jc w:val="both"/>
        <w:sectPr>
          <w:headerReference w:type="default" r:id="rId13"/>
          <w:footerReference w:type="default" r:id="rId14"/>
          <w:footnotePr>
            <w:pos w:val="pageBottom"/>
            <w:numFmt w:val="decimal"/>
            <w:numRestart w:val="continuous"/>
          </w:footnotePr>
          <w:pgSz w:w="11900" w:h="16840"/>
          <w:pgMar w:top="1162" w:right="547" w:bottom="1114" w:left="1105" w:header="0" w:footer="3" w:gutter="0"/>
          <w:cols w:space="720"/>
          <w:noEndnote/>
          <w:rtlGutter w:val="0"/>
          <w:docGrid w:linePitch="360"/>
        </w:sectPr>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П.1(1) Постановления №1289 установлено, что в случае если после отклонения заявок (окончательных предложений) в порядке, установленном п.1 Постановления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п.1(2) Постановления №1289 подтверждением соответствия лекарственного препарата и фармацевтической субстанции требованиям, указанным в п.1(1) Постановления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ч.1 ст.45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п.1 Приказа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 1, приложении № 2 к Приказу 126н.</w:t>
      </w:r>
    </w:p>
    <w:p>
      <w:pPr>
        <w:pStyle w:val="Style9"/>
        <w:keepNext w:val="0"/>
        <w:keepLines w:val="0"/>
        <w:widowControl w:val="0"/>
        <w:shd w:val="clear" w:color="auto" w:fill="auto"/>
        <w:bidi w:val="0"/>
        <w:spacing w:before="0" w:after="0" w:line="317"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На основании пп.«б» пп.1.3 п.1 приказа №126н при проведении аукциона контракт заключается по цене, предложенной победителем аукциона в случае, если </w:t>
      </w:r>
      <w:r>
        <w:rPr>
          <w:rFonts w:ascii="Cambria" w:eastAsia="Cambria" w:hAnsi="Cambria" w:cs="Cambria"/>
          <w:color w:val="000000"/>
          <w:spacing w:val="0"/>
          <w:w w:val="100"/>
          <w:position w:val="0"/>
          <w:sz w:val="22"/>
          <w:szCs w:val="22"/>
          <w:shd w:val="clear" w:color="auto" w:fill="auto"/>
          <w:lang w:val="ru-RU" w:eastAsia="ru-RU" w:bidi="ru-RU"/>
        </w:rPr>
        <w:t>2024-46041</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заявка такого победителя содержит предложение о поставке товаров, указанных в Приложениях, и происходящих исключительно из государств - членов Евразийского экономического союза.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силу п.1.4 приказа №126н в случае отклонения заявок в соответствии с п.1 Постановления № 1289, контракт заключается с участником закупки по предложенной им цене контракта при совокупности следующих условий:</w:t>
      </w:r>
    </w:p>
    <w:p>
      <w:pPr>
        <w:pStyle w:val="Style9"/>
        <w:keepNext w:val="0"/>
        <w:keepLines w:val="0"/>
        <w:widowControl w:val="0"/>
        <w:numPr>
          <w:ilvl w:val="0"/>
          <w:numId w:val="3"/>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9"/>
        <w:keepNext w:val="0"/>
        <w:keepLines w:val="0"/>
        <w:widowControl w:val="0"/>
        <w:numPr>
          <w:ilvl w:val="0"/>
          <w:numId w:val="3"/>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w:t>
      </w:r>
    </w:p>
    <w:p>
      <w:pPr>
        <w:pStyle w:val="Style9"/>
        <w:keepNext w:val="0"/>
        <w:keepLines w:val="0"/>
        <w:widowControl w:val="0"/>
        <w:numPr>
          <w:ilvl w:val="0"/>
          <w:numId w:val="3"/>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п.1.4 приказа № 126н;</w:t>
      </w:r>
    </w:p>
    <w:p>
      <w:pPr>
        <w:pStyle w:val="Style9"/>
        <w:keepNext w:val="0"/>
        <w:keepLines w:val="0"/>
        <w:widowControl w:val="0"/>
        <w:numPr>
          <w:ilvl w:val="0"/>
          <w:numId w:val="3"/>
        </w:numPr>
        <w:shd w:val="clear" w:color="auto" w:fill="auto"/>
        <w:tabs>
          <w:tab w:pos="1109" w:val="left"/>
        </w:tabs>
        <w:bidi w:val="0"/>
        <w:spacing w:before="0" w:after="0"/>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п.1.4 приказа №126н.</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п.2 Постановления №1289 подтверждением страны происхождения лекарственного препарата является один из следующих документов:</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а)сертификат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shd w:val="clear" w:color="auto" w:fill="auto"/>
        <w:bidi w:val="0"/>
        <w:spacing w:before="0" w:after="0" w:line="293" w:lineRule="auto"/>
        <w:ind w:left="0" w:right="0" w:firstLine="700"/>
        <w:jc w:val="both"/>
        <w:rPr>
          <w:sz w:val="22"/>
          <w:szCs w:val="22"/>
        </w:rPr>
      </w:pPr>
      <w:r>
        <w:rPr>
          <w:color w:val="000000"/>
          <w:spacing w:val="0"/>
          <w:w w:val="100"/>
          <w:position w:val="0"/>
          <w:sz w:val="28"/>
          <w:szCs w:val="28"/>
          <w:shd w:val="clear" w:color="auto" w:fill="auto"/>
          <w:lang w:val="ru-RU" w:eastAsia="ru-RU" w:bidi="ru-RU"/>
        </w:rPr>
        <w:t xml:space="preserve">б)заключение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w:t>
      </w:r>
      <w:r>
        <w:rPr>
          <w:rFonts w:ascii="Cambria" w:eastAsia="Cambria" w:hAnsi="Cambria" w:cs="Cambria"/>
          <w:color w:val="000000"/>
          <w:spacing w:val="0"/>
          <w:w w:val="100"/>
          <w:position w:val="0"/>
          <w:sz w:val="22"/>
          <w:szCs w:val="22"/>
          <w:shd w:val="clear" w:color="auto" w:fill="auto"/>
          <w:lang w:val="ru-RU" w:eastAsia="ru-RU" w:bidi="ru-RU"/>
        </w:rPr>
        <w:t>2024-46041</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Российской Федерации, утвержденными постановлением Правительства Российской Федерации от 17 июля 2015 г. №719 «О подтверждении производства промышленной продукции на территории Российской Федерации»;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подтверждением соответствия лекарственного препарата и фармацевтической субстанции требованиям, указанным в п.1(1) Постановления №1289 и пп.«а» п.1.4 Приказа №126н, являются сертификат о происхождении товара по форме СТ-1, а также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требованиям, установленным Постановление №1289, сведений о документе, содержащем сведения о стадиях технологического процесса производства лекарственного средства для медицинского применения.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п.5 ч.1 ст.43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ч.3 и 4 ст.14 Законом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93" w:lineRule="auto"/>
        <w:ind w:left="0" w:right="0" w:firstLine="700"/>
        <w:jc w:val="both"/>
        <w:rPr>
          <w:sz w:val="22"/>
          <w:szCs w:val="22"/>
        </w:rPr>
        <w:sectPr>
          <w:headerReference w:type="default" r:id="rId15"/>
          <w:footerReference w:type="default" r:id="rId16"/>
          <w:footnotePr>
            <w:pos w:val="pageBottom"/>
            <w:numFmt w:val="decimal"/>
            <w:numRestart w:val="continuous"/>
          </w:footnotePr>
          <w:pgSz w:w="11900" w:h="16840"/>
          <w:pgMar w:top="1162" w:right="545" w:bottom="639" w:left="1102" w:header="0" w:footer="211"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Комиссией Управления установлено, что в пп. 11 п. 13 Информационной карты, размещенной в составе извещения Заказчиком установлено требование к составу заявки: «Документы, предусмотренные нормативными правовыми актами, принятыми в соответствии со статьей 14 44-ФЗ, в случае закупки товаров, работ, </w:t>
      </w:r>
      <w:r>
        <w:rPr>
          <w:rFonts w:ascii="Cambria" w:eastAsia="Cambria" w:hAnsi="Cambria" w:cs="Cambria"/>
          <w:color w:val="000000"/>
          <w:spacing w:val="0"/>
          <w:w w:val="100"/>
          <w:position w:val="0"/>
          <w:sz w:val="22"/>
          <w:szCs w:val="22"/>
          <w:shd w:val="clear" w:color="auto" w:fill="auto"/>
          <w:lang w:val="ru-RU" w:eastAsia="ru-RU" w:bidi="ru-RU"/>
        </w:rPr>
        <w:t>2024-46041</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услуг, на которые распространяется действие указанных нормативных правовых актов, или копии таких документов Заявка на участие в аукционе должна содержать копию сертификата о происхождении товара, выдаваемого уполномоченным органом (организацией) государства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пп.«б»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на основании информации, содержащейся в протоколе подачи ценовых предложений, а также результатов рассмотрения, предусмотренного пп.«а» п.1 ч.5 ст.49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п.9 ч.3 ст.49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 первым п.9 ч.3 ст.49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основными принципами приказа №126н является выявление из предложенных товаров — продукции российского происхождения, включая производства фармацевтической субстанции, при этом положения Постановления №1289 устанавливают ограничения допуска иностранных товаров, но не учитывают стадии производства синтеза молекулы лекарственного препарата, который в свою очередь подтверждается документом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Минпромторгом России в установленном им порядке.</w:t>
      </w:r>
    </w:p>
    <w:p>
      <w:pPr>
        <w:pStyle w:val="Style9"/>
        <w:keepNext w:val="0"/>
        <w:keepLines w:val="0"/>
        <w:widowControl w:val="0"/>
        <w:shd w:val="clear" w:color="auto" w:fill="auto"/>
        <w:bidi w:val="0"/>
        <w:spacing w:before="0" w:after="0" w:line="240" w:lineRule="auto"/>
        <w:ind w:left="0" w:right="0" w:firstLine="700"/>
        <w:jc w:val="both"/>
        <w:sectPr>
          <w:headerReference w:type="default" r:id="rId17"/>
          <w:footerReference w:type="default" r:id="rId18"/>
          <w:footnotePr>
            <w:pos w:val="pageBottom"/>
            <w:numFmt w:val="decimal"/>
            <w:numRestart w:val="continuous"/>
          </w:footnotePr>
          <w:pgSz w:w="11900" w:h="16840"/>
          <w:pgMar w:top="1162" w:right="541" w:bottom="1143" w:left="1106" w:header="0" w:footer="3" w:gutter="0"/>
          <w:cols w:space="720"/>
          <w:noEndnote/>
          <w:rtlGutter w:val="0"/>
          <w:docGrid w:linePitch="360"/>
        </w:sectPr>
      </w:pPr>
      <w:r>
        <w:rPr>
          <w:color w:val="000000"/>
          <w:spacing w:val="0"/>
          <w:w w:val="100"/>
          <w:position w:val="0"/>
          <w:shd w:val="clear" w:color="auto" w:fill="auto"/>
          <w:lang w:val="ru-RU" w:eastAsia="ru-RU" w:bidi="ru-RU"/>
        </w:rPr>
        <w:t>При этом п.1.4 Приказа № 126н также уточнено исключительно, что положения настоящего подпункта не применяются при отсутствии участника закупки, заявка которого соответствует указанным условиям, таким образом,</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представляется возможным сделать вывод о том, что это единственный случай неприменения данного положения, вне зависимости от того, имелись ли заявки с иностранными препаратами или нет (применение или неприменение ограничения предусмотренного Постановлением № 1289).</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Обратное толкование п.1.4 Приказа № 126н (что право на заключение контракта у участника, заявка которого соответствует условиям п.1.4 Приказа № 126н появляется исключительно в случае наличия в составе заявок иных участников препаратов иностранного производства и отклонения таких заявок) очевидно лишено смысла, поскольку целью п.1.4 Приказа № 126н является заключение контракта с участником, заявка которого соответствует всем условиям, в том числе условию о предложении к поставке препарата, все стадии производства которого, в том числе синтез молекулы действующего вещества при производстве фармацевтической субстанции, осуществляется на территориях государств — членов Евразийского экономического союза.</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в составе заявок участников, соответствующих извещению данной закупочной процедуры, представлены следующие сведения: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Заявка ООО «ФАРМАФОНД», с идентификационным номером заявки 1064155 содержит следующие сведения: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Регистрационное удостоверение лекарственного препарата для медицинского применения ЛП-№(000838)-(РГ-Ки) от 26.05.2022 (производитель АО «Фармасинтез-Норд», РФ);</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СП-0002816/06/2024 от 19.06.2024;</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Сертификат на соответствие стандарту надлежащей производственной практики (ОМР) № 6МР/ЕАВШКЦ/01285-2024, со сроком действия с 15.04.2024 по 14.04.2027.</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Сертификат о происхождении товара СТ-1 3002006192, РФ;</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Заявка ООО «МИРТУС» с идентификационным номером заявки 1066086 содержит следующие сведения:</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Регистрационное удостоверение лекарственного препарата для медицинского применения ЛП-№(000838)-(РГ-Ки) от 26.05.2022 (производитель АО «Фармасинтез-Норд», РФ);</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Сертификаты о происхождении товара СТ-1 3002006192, РФ; № К/ КС 3 105 02657 Республика Казахстан; № ВУКЦ3103464701, Республика Беларусь.</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338" w:lineRule="auto"/>
        <w:ind w:left="0" w:right="0" w:firstLine="700"/>
        <w:jc w:val="both"/>
        <w:rPr>
          <w:sz w:val="22"/>
          <w:szCs w:val="22"/>
        </w:rPr>
        <w:sectPr>
          <w:headerReference w:type="default" r:id="rId19"/>
          <w:footerReference w:type="default" r:id="rId20"/>
          <w:footnotePr>
            <w:pos w:val="pageBottom"/>
            <w:numFmt w:val="decimal"/>
            <w:numRestart w:val="continuous"/>
          </w:footnotePr>
          <w:pgSz w:w="11900" w:h="16840"/>
          <w:pgMar w:top="1162" w:right="546" w:bottom="615" w:left="1106" w:header="0" w:footer="187"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Комиссия Управления отмечает, что Заказчиком посредством электронной почты направлены возражения на доводы жалобы, согласно которым, комиссией </w:t>
      </w:r>
      <w:r>
        <w:rPr>
          <w:rFonts w:ascii="Cambria" w:eastAsia="Cambria" w:hAnsi="Cambria" w:cs="Cambria"/>
          <w:color w:val="000000"/>
          <w:spacing w:val="0"/>
          <w:w w:val="100"/>
          <w:position w:val="0"/>
          <w:sz w:val="22"/>
          <w:szCs w:val="22"/>
          <w:shd w:val="clear" w:color="auto" w:fill="auto"/>
          <w:lang w:val="ru-RU" w:eastAsia="ru-RU" w:bidi="ru-RU"/>
        </w:rPr>
        <w:t>2024-46041</w:t>
      </w:r>
    </w:p>
    <w:p>
      <w:pPr>
        <w:pStyle w:val="Style9"/>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Заказчика принято решение о признании победителем заявки с номером №1064155, предложившим к поставке лекарственный препарат с полным производственным циклом, при этом в составе заявки Заявителя документ, подтверждающий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(ОМР), 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(СП) отсутствует, при это приложен сертификат по форме СТ-1.</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Таким образом Комиссия Управления отмечает, что сертификат по форме СТ-1 является документом, подтверждающим страну происхождения лекарственного препарата в соответствии с установленными ограничениями на допуск лекарственных препаратов, происходящих из иностранных государств, в соответствии с постановлением № 1289. Так, наличие в заявке победителя сертификата по форме СТ-1 свидетельствует о происхождении товара в Российской Федерации, при этом в соответствии с условиями п. 1.4 приказа №126н, п. 1(1), п. 1(2) постановления № 1289 участником закупки представлена вся необходимая информация, позволяющая заключить контракт с участником ООО «ФАРМАФОНД».</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предложение ООО «ФАРМАФОНД» соответствует всем условиям, установленным п.1.4 Приказа № 126н, ввиду чего признание комиссией по осуществлению закупок Заказчика победителем аукциона участника закупки ООО «ФАРМАФОНД» является правомерным.</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Доказательств обратного Заявителем в составе жалобы не представлено.</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жалобы не нашли своего подтверждения и являются необоснованным.</w:t>
      </w:r>
    </w:p>
    <w:p>
      <w:pPr>
        <w:pStyle w:val="Style9"/>
        <w:keepNext w:val="0"/>
        <w:keepLines w:val="0"/>
        <w:widowControl w:val="0"/>
        <w:shd w:val="clear" w:color="auto" w:fill="auto"/>
        <w:bidi w:val="0"/>
        <w:spacing w:before="0" w:after="0"/>
        <w:ind w:left="0" w:right="0" w:firstLine="700"/>
        <w:jc w:val="both"/>
        <w:sectPr>
          <w:headerReference w:type="default" r:id="rId21"/>
          <w:footerReference w:type="default" r:id="rId22"/>
          <w:footnotePr>
            <w:pos w:val="pageBottom"/>
            <w:numFmt w:val="decimal"/>
            <w:numRestart w:val="continuous"/>
          </w:footnotePr>
          <w:pgSz w:w="11900" w:h="16840"/>
          <w:pgMar w:top="1162" w:right="550" w:bottom="1162" w:left="1106"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4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1. Признать жалобу ООО «МИРТУС» на действия комиссии по осуществлению закупок ГБУЗ ММНКЦ им. С.П. Боткина ДЗМ необоснованной.</w:t>
      </w:r>
    </w:p>
    <w:p>
      <w:pPr>
        <w:pStyle w:val="Style9"/>
        <w:keepNext w:val="0"/>
        <w:keepLines w:val="0"/>
        <w:widowControl w:val="0"/>
        <w:shd w:val="clear" w:color="auto" w:fill="auto"/>
        <w:bidi w:val="0"/>
        <w:spacing w:before="0" w:after="340"/>
        <w:ind w:left="0" w:right="0" w:firstLine="72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 Московским УФАС России.</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513" w:right="546" w:bottom="1167" w:left="1106" w:header="0" w:footer="3" w:gutter="0"/>
          <w:cols w:space="720"/>
          <w:noEndnote/>
          <w:rtlGutter w:val="0"/>
          <w:docGrid w:linePitch="360"/>
        </w:sectPr>
      </w:pPr>
      <w:r>
        <mc:AlternateContent>
          <mc:Choice Requires="wps">
            <w:drawing>
              <wp:anchor distT="139700" distB="356235" distL="0" distR="0" simplePos="0" relativeHeight="125829382" behindDoc="0" locked="0" layoutInCell="1" allowOverlap="1">
                <wp:simplePos x="0" y="0"/>
                <wp:positionH relativeFrom="page">
                  <wp:posOffset>735965</wp:posOffset>
                </wp:positionH>
                <wp:positionV relativeFrom="paragraph">
                  <wp:posOffset>139700</wp:posOffset>
                </wp:positionV>
                <wp:extent cx="1850390" cy="250190"/>
                <wp:wrapTopAndBottom/>
                <wp:docPr id="29" name="Shape 29"/>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55" type="#_x0000_t202" style="position:absolute;margin-left:57.950000000000003pt;margin-top:11.pt;width:145.70000000000002pt;height:19.699999999999999pt;z-index:-125829371;mso-wrap-distance-left:0;mso-wrap-distance-top:11.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12725" distB="0" distL="0" distR="1786255" simplePos="0" relativeHeight="125829384" behindDoc="0" locked="0" layoutInCell="1" allowOverlap="1">
            <wp:simplePos x="0" y="0"/>
            <wp:positionH relativeFrom="page">
              <wp:posOffset>3091815</wp:posOffset>
            </wp:positionH>
            <wp:positionV relativeFrom="paragraph">
              <wp:posOffset>212725</wp:posOffset>
            </wp:positionV>
            <wp:extent cx="353695" cy="536575"/>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3"/>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3549015</wp:posOffset>
                </wp:positionH>
                <wp:positionV relativeFrom="paragraph">
                  <wp:posOffset>612140</wp:posOffset>
                </wp:positionV>
                <wp:extent cx="1283335" cy="103505"/>
                <wp:wrapNone/>
                <wp:docPr id="33" name="Shape 3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79.44999999999999pt;margin-top:48.200000000000003pt;width:101.05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3506470</wp:posOffset>
                </wp:positionH>
                <wp:positionV relativeFrom="paragraph">
                  <wp:posOffset>300990</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6.10000000000002pt;margin-top:23.699999999999999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356235" distL="0" distR="0" simplePos="0" relativeHeight="125829385" behindDoc="0" locked="0" layoutInCell="1" allowOverlap="1">
                <wp:simplePos x="0" y="0"/>
                <wp:positionH relativeFrom="page">
                  <wp:posOffset>6261735</wp:posOffset>
                </wp:positionH>
                <wp:positionV relativeFrom="paragraph">
                  <wp:posOffset>139700</wp:posOffset>
                </wp:positionV>
                <wp:extent cx="883920" cy="250190"/>
                <wp:wrapTopAndBottom/>
                <wp:docPr id="37" name="Shape 37"/>
                <a:graphic xmlns:a="http://schemas.openxmlformats.org/drawingml/2006/main">
                  <a:graphicData uri="http://schemas.microsoft.com/office/word/2010/wordprocessingShape">
                    <wps:wsp>
                      <wps:cNvSpPr txBox="1"/>
                      <wps:spPr>
                        <a:xfrm>
                          <a:ext cx="88392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63" type="#_x0000_t202" style="position:absolute;margin-left:493.05000000000001pt;margin-top:11.pt;width:69.600000000000009pt;height:19.699999999999999pt;z-index:-125829368;mso-wrap-distance-left:0;mso-wrap-distance-top:11.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pStyle w:val="Style22"/>
        <w:keepNext w:val="0"/>
        <w:keepLines w:val="0"/>
        <w:widowControl w:val="0"/>
        <w:shd w:val="clear" w:color="auto" w:fill="auto"/>
        <w:bidi w:val="0"/>
        <w:spacing w:before="0" w:after="0" w:line="240" w:lineRule="auto"/>
        <w:ind w:left="0" w:right="0" w:firstLine="0"/>
        <w:jc w:val="center"/>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Узкий Николай Александрович</w:t>
      </w:r>
    </w:p>
    <w:p>
      <w:pPr>
        <w:pStyle w:val="Style22"/>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0084Е434Е5152Е57С03201780ВА4А68226</w:t>
      </w:r>
    </w:p>
    <w:p>
      <w:pPr>
        <w:pStyle w:val="Style22"/>
        <w:keepNext w:val="0"/>
        <w:keepLines w:val="0"/>
        <w:widowControl w:val="0"/>
        <w:shd w:val="clear" w:color="auto" w:fill="auto"/>
        <w:bidi w:val="0"/>
        <w:spacing w:before="0" w:after="0" w:line="240" w:lineRule="auto"/>
        <w:ind w:right="0" w:firstLine="0"/>
        <w:jc w:val="both"/>
      </w:pPr>
      <w:r>
        <w:rPr>
          <w:color w:val="60606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06060"/>
          <w:spacing w:val="0"/>
          <w:w w:val="100"/>
          <w:position w:val="0"/>
          <w:shd w:val="clear" w:color="auto" w:fill="auto"/>
          <w:lang w:val="ru-RU" w:eastAsia="ru-RU" w:bidi="ru-RU"/>
        </w:rPr>
        <w:t xml:space="preserve">12.03.2024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widowControl w:val="0"/>
        <w:spacing w:line="1" w:lineRule="exact"/>
        <w:sectPr>
          <w:footnotePr>
            <w:pos w:val="pageBottom"/>
            <w:numFmt w:val="decimal"/>
            <w:numRestart w:val="continuous"/>
          </w:footnotePr>
          <w:type w:val="continuous"/>
          <w:pgSz w:w="11900" w:h="16840"/>
          <w:pgMar w:top="1513" w:right="546" w:bottom="1167" w:left="1106" w:header="0" w:footer="3" w:gutter="0"/>
          <w:cols w:space="720"/>
          <w:noEndnote/>
          <w:rtlGutter w:val="0"/>
          <w:docGrid w:linePitch="360"/>
        </w:sectPr>
      </w:pPr>
      <w:r>
        <mc:AlternateContent>
          <mc:Choice Requires="wps">
            <w:drawing>
              <wp:anchor distT="38100" distB="359410" distL="0" distR="0" simplePos="0" relativeHeight="125829387" behindDoc="0" locked="0" layoutInCell="1" allowOverlap="1">
                <wp:simplePos x="0" y="0"/>
                <wp:positionH relativeFrom="page">
                  <wp:posOffset>735965</wp:posOffset>
                </wp:positionH>
                <wp:positionV relativeFrom="paragraph">
                  <wp:posOffset>38100</wp:posOffset>
                </wp:positionV>
                <wp:extent cx="1341120" cy="250190"/>
                <wp:wrapTopAndBottom/>
                <wp:docPr id="39" name="Shape 39"/>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65" type="#_x0000_t202" style="position:absolute;margin-left:57.950000000000003pt;margin-top:3.pt;width:105.60000000000001pt;height:19.699999999999999pt;z-index:-125829366;mso-wrap-distance-left:0;mso-wrap-distance-top:3.pt;mso-wrap-distance-right:0;mso-wrap-distance-bottom:28.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11125" distB="0" distL="0" distR="1786255" simplePos="0" relativeHeight="125829389" behindDoc="0" locked="0" layoutInCell="1" allowOverlap="1">
            <wp:simplePos x="0" y="0"/>
            <wp:positionH relativeFrom="page">
              <wp:posOffset>3091815</wp:posOffset>
            </wp:positionH>
            <wp:positionV relativeFrom="paragraph">
              <wp:posOffset>111125</wp:posOffset>
            </wp:positionV>
            <wp:extent cx="353695" cy="536575"/>
            <wp:wrapTopAndBottom/>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5"/>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3549015</wp:posOffset>
                </wp:positionH>
                <wp:positionV relativeFrom="paragraph">
                  <wp:posOffset>513715</wp:posOffset>
                </wp:positionV>
                <wp:extent cx="1280160" cy="100330"/>
                <wp:wrapNone/>
                <wp:docPr id="43" name="Shape 4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9" type="#_x0000_t202" style="position:absolute;margin-left:279.44999999999999pt;margin-top:40.450000000000003pt;width:100.8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3506470</wp:posOffset>
                </wp:positionH>
                <wp:positionV relativeFrom="paragraph">
                  <wp:posOffset>199390</wp:posOffset>
                </wp:positionV>
                <wp:extent cx="1722120" cy="255905"/>
                <wp:wrapNone/>
                <wp:docPr id="45" name="Shape 4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71" type="#_x0000_t202" style="position:absolute;margin-left:276.10000000000002pt;margin-top:15.70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8100" distB="359410" distL="0" distR="0" simplePos="0" relativeHeight="125829390" behindDoc="0" locked="0" layoutInCell="1" allowOverlap="1">
                <wp:simplePos x="0" y="0"/>
                <wp:positionH relativeFrom="page">
                  <wp:posOffset>5810885</wp:posOffset>
                </wp:positionH>
                <wp:positionV relativeFrom="paragraph">
                  <wp:posOffset>38100</wp:posOffset>
                </wp:positionV>
                <wp:extent cx="1347470" cy="250190"/>
                <wp:wrapTopAndBottom/>
                <wp:docPr id="47" name="Shape 47"/>
                <a:graphic xmlns:a="http://schemas.openxmlformats.org/drawingml/2006/main">
                  <a:graphicData uri="http://schemas.microsoft.com/office/word/2010/wordprocessingShape">
                    <wps:wsp>
                      <wps:cNvSpPr txBox="1"/>
                      <wps:spPr>
                        <a:xfrm>
                          <a:ext cx="134747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73" type="#_x0000_t202" style="position:absolute;margin-left:457.55000000000001pt;margin-top:3.pt;width:106.10000000000001pt;height:19.699999999999999pt;z-index:-125829363;mso-wrap-distance-left:0;mso-wrap-distance-top:3.pt;mso-wrap-distance-right:0;mso-wrap-distance-bottom:28.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topAndBottom" anchorx="page"/>
              </v:shape>
            </w:pict>
          </mc:Fallback>
        </mc:AlternateContent>
      </w:r>
    </w:p>
    <w:p>
      <w:pPr>
        <w:pStyle w:val="Style22"/>
        <w:keepNext w:val="0"/>
        <w:keepLines w:val="0"/>
        <w:widowControl w:val="0"/>
        <w:shd w:val="clear" w:color="auto" w:fill="auto"/>
        <w:bidi w:val="0"/>
        <w:spacing w:before="0" w:after="0" w:line="276" w:lineRule="auto"/>
        <w:ind w:right="0" w:firstLine="0"/>
        <w:jc w:val="left"/>
      </w:pPr>
      <w:r>
        <w:rPr>
          <w:color w:val="606060"/>
          <w:spacing w:val="0"/>
          <w:w w:val="100"/>
          <w:position w:val="0"/>
          <w:shd w:val="clear" w:color="auto" w:fill="auto"/>
          <w:lang w:val="ru-RU" w:eastAsia="ru-RU" w:bidi="ru-RU"/>
        </w:rPr>
        <w:t xml:space="preserve">Кому </w:t>
      </w:r>
      <w:r>
        <w:rPr>
          <w:color w:val="000000"/>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Матюшенко Александр Александрович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2Е366ЕОЗОЕЕ902О8968ЕА4В2С7Э60465</w:t>
      </w:r>
    </w:p>
    <w:p>
      <w:pPr>
        <w:pStyle w:val="Style22"/>
        <w:keepNext w:val="0"/>
        <w:keepLines w:val="0"/>
        <w:widowControl w:val="0"/>
        <w:shd w:val="clear" w:color="auto" w:fill="auto"/>
        <w:bidi w:val="0"/>
        <w:spacing w:before="0" w:after="120" w:line="276" w:lineRule="auto"/>
        <w:ind w:right="0" w:firstLine="0"/>
        <w:jc w:val="left"/>
      </w:pPr>
      <w:r>
        <w:rPr>
          <w:color w:val="606060"/>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06060"/>
          <w:spacing w:val="0"/>
          <w:w w:val="100"/>
          <w:position w:val="0"/>
          <w:shd w:val="clear" w:color="auto" w:fill="auto"/>
          <w:lang w:val="ru-RU" w:eastAsia="ru-RU" w:bidi="ru-RU"/>
        </w:rPr>
        <w:t>20.05.2024 по 13.08.2025</w:t>
      </w:r>
    </w:p>
    <w:p>
      <w:pPr>
        <w:pStyle w:val="Style9"/>
        <w:keepNext w:val="0"/>
        <w:keepLines w:val="0"/>
        <w:widowControl w:val="0"/>
        <w:shd w:val="clear" w:color="auto" w:fill="auto"/>
        <w:bidi w:val="0"/>
        <w:spacing w:before="0" w:after="620" w:line="240" w:lineRule="auto"/>
        <w:ind w:left="1180" w:right="0" w:firstLine="0"/>
        <w:jc w:val="left"/>
      </w:pPr>
      <w:r>
        <w:drawing>
          <wp:anchor distT="0" distB="0" distL="114300" distR="1900555" simplePos="0" relativeHeight="125829392" behindDoc="0" locked="0" layoutInCell="1" allowOverlap="1">
            <wp:simplePos x="0" y="0"/>
            <wp:positionH relativeFrom="page">
              <wp:posOffset>3091815</wp:posOffset>
            </wp:positionH>
            <wp:positionV relativeFrom="paragraph">
              <wp:posOffset>63500</wp:posOffset>
            </wp:positionV>
            <wp:extent cx="353695" cy="536575"/>
            <wp:wrapSquare wrapText="right"/>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27"/>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3549015</wp:posOffset>
                </wp:positionH>
                <wp:positionV relativeFrom="paragraph">
                  <wp:posOffset>462915</wp:posOffset>
                </wp:positionV>
                <wp:extent cx="1283335" cy="103505"/>
                <wp:wrapNone/>
                <wp:docPr id="51" name="Shape 5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77" type="#_x0000_t202" style="position:absolute;margin-left:279.44999999999999pt;margin-top:36.450000000000003pt;width:101.05pt;height:8.15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3506470</wp:posOffset>
                </wp:positionH>
                <wp:positionV relativeFrom="paragraph">
                  <wp:posOffset>151765</wp:posOffset>
                </wp:positionV>
                <wp:extent cx="1722120" cy="255905"/>
                <wp:wrapNone/>
                <wp:docPr id="53" name="Shape 5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79" type="#_x0000_t202" style="position:absolute;margin-left:276.10000000000002pt;margin-top:11.950000000000001pt;width:135.59999999999999pt;height:20.15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2"/>
        <w:keepNext w:val="0"/>
        <w:keepLines w:val="0"/>
        <w:widowControl w:val="0"/>
        <w:shd w:val="clear" w:color="auto" w:fill="auto"/>
        <w:bidi w:val="0"/>
        <w:spacing w:before="0" w:after="0" w:line="240" w:lineRule="auto"/>
        <w:ind w:right="0" w:firstLine="0"/>
        <w:jc w:val="left"/>
        <w:rPr>
          <w:sz w:val="11"/>
          <w:szCs w:val="11"/>
        </w:rPr>
      </w:pPr>
      <w:r>
        <w:rPr>
          <w:color w:val="60606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Мацнева Мария Олеговна</w:t>
      </w:r>
    </w:p>
    <w:p>
      <w:pPr>
        <w:pStyle w:val="Style22"/>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00803Е817690Е8688001Е612СЗС6В74577</w:t>
      </w:r>
    </w:p>
    <w:p>
      <w:pPr>
        <w:pStyle w:val="Style22"/>
        <w:keepNext w:val="0"/>
        <w:keepLines w:val="0"/>
        <w:widowControl w:val="0"/>
        <w:shd w:val="clear" w:color="auto" w:fill="auto"/>
        <w:bidi w:val="0"/>
        <w:spacing w:before="0" w:after="5000" w:line="240" w:lineRule="auto"/>
        <w:ind w:right="0" w:firstLine="0"/>
        <w:jc w:val="left"/>
      </w:pPr>
      <w:r>
        <w:rPr>
          <w:color w:val="606060"/>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06060"/>
          <w:spacing w:val="0"/>
          <w:w w:val="100"/>
          <w:position w:val="0"/>
          <w:shd w:val="clear" w:color="auto" w:fill="auto"/>
          <w:lang w:val="ru-RU" w:eastAsia="ru-RU" w:bidi="ru-RU"/>
        </w:rPr>
        <w:t xml:space="preserve">20.05.2024 </w:t>
      </w:r>
      <w:r>
        <w:rPr>
          <w:color w:val="8C8C8C"/>
          <w:spacing w:val="0"/>
          <w:w w:val="100"/>
          <w:position w:val="0"/>
          <w:shd w:val="clear" w:color="auto" w:fill="auto"/>
          <w:lang w:val="ru-RU" w:eastAsia="ru-RU" w:bidi="ru-RU"/>
        </w:rPr>
        <w:t xml:space="preserve">по </w:t>
      </w:r>
      <w:r>
        <w:rPr>
          <w:color w:val="606060"/>
          <w:spacing w:val="0"/>
          <w:w w:val="100"/>
          <w:position w:val="0"/>
          <w:shd w:val="clear" w:color="auto" w:fill="auto"/>
          <w:lang w:val="ru-RU" w:eastAsia="ru-RU" w:bidi="ru-RU"/>
        </w:rPr>
        <w:t>13.08.2025</w:t>
      </w:r>
    </w:p>
    <w:p>
      <w:pPr>
        <w:pStyle w:val="Style2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 тел.8(495)784-75-05</w:t>
      </w:r>
    </w:p>
    <w:sectPr>
      <w:footnotePr>
        <w:pos w:val="pageBottom"/>
        <w:numFmt w:val="decimal"/>
        <w:numRestart w:val="continuous"/>
      </w:footnotePr>
      <w:type w:val="continuous"/>
      <w:pgSz w:w="11900" w:h="16840"/>
      <w:pgMar w:top="1513" w:right="546" w:bottom="116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13105" cy="100330"/>
              <wp:wrapNone/>
              <wp:docPr id="5" name="Shape 5"/>
              <a:graphic xmlns:a="http://schemas.openxmlformats.org/drawingml/2006/main">
                <a:graphicData uri="http://schemas.microsoft.com/office/word/2010/wordprocessingShape">
                  <wps:wsp>
                    <wps:cNvSpPr txBox="1"/>
                    <wps:spPr>
                      <a:xfrm>
                        <a:ext cx="7131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2024-46041</w:t>
                          </w:r>
                        </w:p>
                      </w:txbxContent>
                    </wps:txbx>
                    <wps:bodyPr wrap="none" lIns="0" tIns="0" rIns="0" bIns="0">
                      <a:spAutoFit/>
                    </wps:bodyPr>
                  </wps:wsp>
                </a:graphicData>
              </a:graphic>
            </wp:anchor>
          </w:drawing>
        </mc:Choice>
        <mc:Fallback>
          <w:pict>
            <v:shape id="_x0000_s1031" type="#_x0000_t202" style="position:absolute;margin-left:57.pt;margin-top:804.5pt;width:56.14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2024-46041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727075</wp:posOffset>
              </wp:positionH>
              <wp:positionV relativeFrom="page">
                <wp:posOffset>10092690</wp:posOffset>
              </wp:positionV>
              <wp:extent cx="719455" cy="100330"/>
              <wp:wrapNone/>
              <wp:docPr id="15" name="Shape 1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2024-46041</w:t>
                          </w:r>
                        </w:p>
                      </w:txbxContent>
                    </wps:txbx>
                    <wps:bodyPr wrap="none" lIns="0" tIns="0" rIns="0" bIns="0">
                      <a:spAutoFit/>
                    </wps:bodyPr>
                  </wps:wsp>
                </a:graphicData>
              </a:graphic>
            </wp:anchor>
          </w:drawing>
        </mc:Choice>
        <mc:Fallback>
          <w:pict>
            <v:shape id="_x0000_s1041" type="#_x0000_t202" style="position:absolute;margin-left:57.25pt;margin-top:794.70000000000005pt;width:56.649999999999999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2024-46041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727075</wp:posOffset>
              </wp:positionH>
              <wp:positionV relativeFrom="page">
                <wp:posOffset>10092690</wp:posOffset>
              </wp:positionV>
              <wp:extent cx="719455" cy="100330"/>
              <wp:wrapNone/>
              <wp:docPr id="21" name="Shape 21"/>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2024-46041</w:t>
                          </w:r>
                        </w:p>
                      </w:txbxContent>
                    </wps:txbx>
                    <wps:bodyPr wrap="none" lIns="0" tIns="0" rIns="0" bIns="0">
                      <a:spAutoFit/>
                    </wps:bodyPr>
                  </wps:wsp>
                </a:graphicData>
              </a:graphic>
            </wp:anchor>
          </w:drawing>
        </mc:Choice>
        <mc:Fallback>
          <w:pict>
            <v:shape id="_x0000_s1047" type="#_x0000_t202" style="position:absolute;margin-left:57.25pt;margin-top:794.70000000000005pt;width:56.649999999999999pt;height:7.90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2024-46041</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727075</wp:posOffset>
              </wp:positionH>
              <wp:positionV relativeFrom="page">
                <wp:posOffset>10092690</wp:posOffset>
              </wp:positionV>
              <wp:extent cx="719455" cy="100330"/>
              <wp:wrapNone/>
              <wp:docPr id="27" name="Shape 2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2024-46041</w:t>
                          </w:r>
                        </w:p>
                      </w:txbxContent>
                    </wps:txbx>
                    <wps:bodyPr wrap="none" lIns="0" tIns="0" rIns="0" bIns="0">
                      <a:spAutoFit/>
                    </wps:bodyPr>
                  </wps:wsp>
                </a:graphicData>
              </a:graphic>
            </wp:anchor>
          </w:drawing>
        </mc:Choice>
        <mc:Fallback>
          <w:pict>
            <v:shape id="_x0000_s1053" type="#_x0000_t202" style="position:absolute;margin-left:57.25pt;margin-top:794.70000000000005pt;width:56.649999999999999pt;height:7.9000000000000004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2024-46041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3924300</wp:posOffset>
              </wp:positionH>
              <wp:positionV relativeFrom="page">
                <wp:posOffset>415290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pt;margin-top:32.700000000000003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3902710</wp:posOffset>
              </wp:positionH>
              <wp:positionV relativeFrom="page">
                <wp:posOffset>476250</wp:posOffset>
              </wp:positionV>
              <wp:extent cx="113030" cy="103505"/>
              <wp:wrapNone/>
              <wp:docPr id="13" name="Shape 13"/>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30000000000001pt;margin-top:37.5pt;width:8.9000000000000004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3924300</wp:posOffset>
              </wp:positionH>
              <wp:positionV relativeFrom="page">
                <wp:posOffset>415290</wp:posOffset>
              </wp:positionV>
              <wp:extent cx="67310" cy="103505"/>
              <wp:wrapNone/>
              <wp:docPr id="17" name="Shape 17"/>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pt;margin-top:32.700000000000003pt;width:5.2999999999999998pt;height:8.15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3902710</wp:posOffset>
              </wp:positionH>
              <wp:positionV relativeFrom="page">
                <wp:posOffset>476250</wp:posOffset>
              </wp:positionV>
              <wp:extent cx="113030" cy="103505"/>
              <wp:wrapNone/>
              <wp:docPr id="19" name="Shape 19"/>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7.30000000000001pt;margin-top:37.5pt;width:8.9000000000000004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3924300</wp:posOffset>
              </wp:positionH>
              <wp:positionV relativeFrom="page">
                <wp:posOffset>415290</wp:posOffset>
              </wp:positionV>
              <wp:extent cx="67310" cy="103505"/>
              <wp:wrapNone/>
              <wp:docPr id="23" name="Shape 2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9" type="#_x0000_t202" style="position:absolute;margin-left:309.pt;margin-top:32.700000000000003pt;width:5.2999999999999998pt;height:8.15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3902710</wp:posOffset>
              </wp:positionH>
              <wp:positionV relativeFrom="page">
                <wp:posOffset>476250</wp:posOffset>
              </wp:positionV>
              <wp:extent cx="113030" cy="103505"/>
              <wp:wrapNone/>
              <wp:docPr id="25" name="Shape 25"/>
              <a:graphic xmlns:a="http://schemas.openxmlformats.org/drawingml/2006/main">
                <a:graphicData uri="http://schemas.microsoft.com/office/word/2010/wordprocessingShape">
                  <wps:wsp>
                    <wps:cNvSpPr txBox="1"/>
                    <wps:spPr>
                      <a:xfrm>
                        <a:ext cx="1130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1" type="#_x0000_t202" style="position:absolute;margin-left:307.30000000000001pt;margin-top:37.5pt;width:8.9000000000000004pt;height:8.15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4"/>
      <w:szCs w:val="34"/>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3">
    <w:name w:val="Основной текст (2)_"/>
    <w:basedOn w:val="DefaultParagraphFont"/>
    <w:link w:val="Style22"/>
    <w:rPr>
      <w:rFonts w:ascii="Arial" w:eastAsia="Arial" w:hAnsi="Arial" w:cs="Arial"/>
      <w:b w:val="0"/>
      <w:bCs w:val="0"/>
      <w:i w:val="0"/>
      <w:iCs w:val="0"/>
      <w:smallCaps w:val="0"/>
      <w:strike w:val="0"/>
      <w:color w:val="3A3A3A"/>
      <w:sz w:val="12"/>
      <w:szCs w:val="12"/>
      <w:u w:val="none"/>
    </w:rPr>
  </w:style>
  <w:style w:type="character" w:customStyle="1" w:styleId="CharStyle29">
    <w:name w:val="Основной текст (4)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Заголовок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18">
    <w:name w:val="Подпись к картинке"/>
    <w:basedOn w:val="Normal"/>
    <w:link w:val="CharStyle19"/>
    <w:pPr>
      <w:widowControl w:val="0"/>
      <w:shd w:val="clear" w:color="auto" w:fill="auto"/>
      <w:spacing w:line="216"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2">
    <w:name w:val="Основной текст (2)"/>
    <w:basedOn w:val="Normal"/>
    <w:link w:val="CharStyle23"/>
    <w:pPr>
      <w:widowControl w:val="0"/>
      <w:shd w:val="clear" w:color="auto" w:fill="auto"/>
      <w:ind w:left="3780"/>
    </w:pPr>
    <w:rPr>
      <w:rFonts w:ascii="Arial" w:eastAsia="Arial" w:hAnsi="Arial" w:cs="Arial"/>
      <w:b w:val="0"/>
      <w:bCs w:val="0"/>
      <w:i w:val="0"/>
      <w:iCs w:val="0"/>
      <w:smallCaps w:val="0"/>
      <w:strike w:val="0"/>
      <w:color w:val="3A3A3A"/>
      <w:sz w:val="12"/>
      <w:szCs w:val="12"/>
      <w:u w:val="none"/>
    </w:rPr>
  </w:style>
  <w:style w:type="paragraph" w:customStyle="1" w:styleId="Style28">
    <w:name w:val="Основной текст (4)"/>
    <w:basedOn w:val="Normal"/>
    <w:link w:val="CharStyle29"/>
    <w:pPr>
      <w:widowControl w:val="0"/>
      <w:shd w:val="clear" w:color="auto" w:fill="auto"/>
      <w:spacing w:after="3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 Id="rId27" Type="http://schemas.openxmlformats.org/officeDocument/2006/relationships/image" Target="media/image5.jpeg"/><Relationship Id="rId28" Type="http://schemas.openxmlformats.org/officeDocument/2006/relationships/image" Target="media/image5.jpeg" TargetMode="External"/></Relationships>
</file>