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40955/24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ФПИ» Минздрава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^аxа^0VаVА@птгс.^и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«Брокер групп»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оооЛеп4ег.Ъгокег77@дтай.сот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РТС-тендер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424" w:bottom="712" w:left="1269" w:header="0" w:footer="3" w:gutter="0"/>
          <w:cols w:num="2" w:space="1056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ко@г18-1епдег.ги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077/06/106-13109/2024 об устранении нарушений</w:t>
        <w:br/>
        <w:t>законодательства о контрактной системе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</w:t>
        <w:softHyphen/>
        <w:t>дарственных закупок Д.С. Грешневой,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652" w:val="left"/>
          <w:tab w:pos="4842" w:val="left"/>
          <w:tab w:pos="6724" w:val="left"/>
          <w:tab w:pos="916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Леоновой,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4842" w:val="left"/>
          <w:tab w:pos="916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</w:t>
        <w:tab/>
        <w:t>обжалования государственных</w:t>
        <w:tab/>
        <w:t>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М.В.Сорбучевой,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 по делу 077/06/106- 13109/2024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«Брокер групп» (далее — Заявитель) на действия ФГБУ «НМИЦ ФПИ» Минздрава России (далее — Заказчик) при проведении открытого конкурса в электронной форме на право заключения государственного контракта на выполнение работ по капитальному ремонту ограждения (забор) по адресу: г. Москва, ул. Достоевского, вл.2,4. ФГБУ «НМИЦ ФПИ» Минздрава России (Закупка № 0362100034224000425) (далее - конкурс)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конкурсной комиссии отменить протокол подведения итогов, протокол рассмотрения и оценки вторых частей заявок, в случае единственной поданной заявки на участие в открытом конкурсе в электронной форме протокол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рассмотрения единственной заявки (далее - протоколы).</w:t>
      </w:r>
    </w:p>
    <w:p>
      <w:pPr>
        <w:widowControl w:val="0"/>
        <w:spacing w:after="551" w:line="1" w:lineRule="exact"/>
      </w:pP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63500</wp:posOffset>
            </wp:positionV>
            <wp:extent cx="1511935" cy="28638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511935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2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окончательных предложений о цене контракта;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2" w:val="left"/>
        </w:tabs>
        <w:bidi w:val="0"/>
        <w:spacing w:before="0" w:after="4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конкурсе;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об отмене протоколов, протокола окончательных предложений о цене контракта,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электронном конкурсе, открытых участникам закупки, подавшим заявки на участие в конкурсе, в отношении денежных средств в размере обеспечения заявки на участие в конкурсе.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5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открытого конкурса в электронной форме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30.09.2024 по делу №077/06/106-13109/2024,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и время окончания срока подачи заявок на участие в конкурсе, дату и время рассмотрения и оценки первых частей заявок на участие в конкурсе, дату подачи участниками открытого конкурса в электронной форме окончательных предложений о цене контракта, дату и время рассмотрения и оценки вторых частей заявок на участие в конкурсе, а также разместить в единой информационной системе информацию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 При этом дата окончания срока подачи заявок на участие в конкурсе должна быть назначена в соответствии с ч. 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дату подачи окончательных предложений и разместить на электронной площадке информацию о времени начала и окончания подачи окончательных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конкурсной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30.09.2024 по делу №077/06/106- 13109/2024.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31.10.2024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1о77@Та8.до\\П1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30.09.2024 по делу № 077/06/106-13109/2024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33" w:bottom="1268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78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850000000000001pt;margin-top:10.pt;width:145.70000000000002pt;height:19.900000000000002pt;z-index:-125829375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0" behindDoc="0" locked="0" layoutInCell="1" allowOverlap="1">
            <wp:simplePos x="0" y="0"/>
            <wp:positionH relativeFrom="page">
              <wp:posOffset>3078480</wp:posOffset>
            </wp:positionH>
            <wp:positionV relativeFrom="paragraph">
              <wp:posOffset>200025</wp:posOffset>
            </wp:positionV>
            <wp:extent cx="353695" cy="53657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3535680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8.40000000000003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3493135</wp:posOffset>
                </wp:positionH>
                <wp:positionV relativeFrom="paragraph">
                  <wp:posOffset>291465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5.05000000000001pt;margin-top:22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1" behindDoc="0" locked="0" layoutInCell="1" allowOverlap="1">
                <wp:simplePos x="0" y="0"/>
                <wp:positionH relativeFrom="page">
                  <wp:posOffset>6083935</wp:posOffset>
                </wp:positionH>
                <wp:positionV relativeFrom="paragraph">
                  <wp:posOffset>127000</wp:posOffset>
                </wp:positionV>
                <wp:extent cx="1134110" cy="25273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9.05000000000001pt;margin-top:10.pt;width:89.299999999999997pt;height:19.900000000000002pt;z-index:-125829372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00Е5ЕВ2ЕА3399576105А45С83ЕВ9ЕЕ00Е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07.05.2024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31.07.2025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320" w:right="0" w:firstLine="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3079115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3536315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8.44999999999999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3493770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5.10000000000002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37373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7373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009389Е972АА570Е22019Е7С5Ю28В0906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20.09.2024 по 14.12.2025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102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3081655</wp:posOffset>
            </wp:positionH>
            <wp:positionV relativeFrom="paragraph">
              <wp:posOffset>63500</wp:posOffset>
            </wp:positionV>
            <wp:extent cx="347345" cy="39624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3493135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5.05000000000001pt;margin-top:11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46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00ЕЗВ71218Е970424В4С41С7997434Е304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19.09.2024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13.12.2025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2024-46380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5pt;margin-top:794.70000000000005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2024-46380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2024-46380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2024-46380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37.5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555555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2323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7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55555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/Relationships>
</file>