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8" w:right="541" w:bottom="649" w:left="1106" w:header="0" w:footer="3" w:gutter="0"/>
          <w:pgNumType w:start="1"/>
          <w:cols w:space="720"/>
          <w:noEndnote/>
          <w:titlePg/>
          <w:rtlGutter w:val="0"/>
          <w:docGrid w:linePitch="360"/>
        </w:sectPr>
      </w:pPr>
    </w:p>
    <w:p>
      <w:pPr>
        <w:pStyle w:val="Style9"/>
        <w:keepNext w:val="0"/>
        <w:keepLines w:val="0"/>
        <w:widowControl w:val="0"/>
        <w:shd w:val="clear" w:color="auto" w:fill="auto"/>
        <w:bidi w:val="0"/>
        <w:spacing w:before="0" w:after="280" w:line="240" w:lineRule="auto"/>
        <w:ind w:left="1020" w:right="0" w:firstLine="0"/>
        <w:jc w:val="left"/>
      </w:pPr>
      <w:r>
        <mc:AlternateContent>
          <mc:Choice Requires="wps">
            <w:drawing>
              <wp:anchor distT="0" distB="2343785" distL="403860" distR="373380" simplePos="0" relativeHeight="125829378" behindDoc="0" locked="0" layoutInCell="1" allowOverlap="1">
                <wp:simplePos x="0" y="0"/>
                <wp:positionH relativeFrom="page">
                  <wp:posOffset>1016635</wp:posOffset>
                </wp:positionH>
                <wp:positionV relativeFrom="paragraph">
                  <wp:posOffset>50800</wp:posOffset>
                </wp:positionV>
                <wp:extent cx="2045335" cy="301625"/>
                <wp:wrapSquare wrapText="right"/>
                <wp:docPr id="11" name="Shape 1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7" type="#_x0000_t202" style="position:absolute;margin-left:80.049999999999997pt;margin-top:4.pt;width:161.05000000000001pt;height:23.75pt;z-index:-125829375;mso-wrap-distance-left:31.800000000000001pt;mso-wrap-distance-right:29.400000000000002pt;mso-wrap-distance-bottom:184.55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side="right" anchorx="page"/>
              </v:shape>
            </w:pict>
          </mc:Fallback>
        </mc:AlternateContent>
      </w:r>
      <w:r>
        <mc:AlternateContent>
          <mc:Choice Requires="wps">
            <w:drawing>
              <wp:anchor distT="423545" distB="813435" distL="193675" distR="193675" simplePos="0" relativeHeight="125829380" behindDoc="0" locked="0" layoutInCell="1" allowOverlap="1">
                <wp:simplePos x="0" y="0"/>
                <wp:positionH relativeFrom="page">
                  <wp:posOffset>806450</wp:posOffset>
                </wp:positionH>
                <wp:positionV relativeFrom="paragraph">
                  <wp:posOffset>474345</wp:posOffset>
                </wp:positionV>
                <wp:extent cx="2435225" cy="1408430"/>
                <wp:wrapSquare wrapText="right"/>
                <wp:docPr id="13" name="Shape 13"/>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03.10.2024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40870/24</w:t>
                            </w:r>
                          </w:p>
                        </w:txbxContent>
                      </wps:txbx>
                      <wps:bodyPr lIns="0" tIns="0" rIns="0" bIns="0">
                        <a:noAutoFit/>
                      </wps:bodyPr>
                    </wps:wsp>
                  </a:graphicData>
                </a:graphic>
              </wp:anchor>
            </w:drawing>
          </mc:Choice>
          <mc:Fallback>
            <w:pict>
              <v:shape id="_x0000_s1039" type="#_x0000_t202" style="position:absolute;margin-left:63.5pt;margin-top:37.350000000000001pt;width:191.75pt;height:110.90000000000001pt;z-index:-125829373;mso-wrap-distance-left:15.25pt;mso-wrap-distance-top:33.350000000000001pt;mso-wrap-distance-right:15.25pt;mso-wrap-distance-bottom:64.049999999999997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03.10.2024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40870/24</w:t>
                      </w:r>
                    </w:p>
                  </w:txbxContent>
                </v:textbox>
                <w10:wrap type="square" side="right" anchorx="page"/>
              </v:shape>
            </w:pict>
          </mc:Fallback>
        </mc:AlternateContent>
      </w:r>
      <w:r>
        <w:drawing>
          <wp:anchor distT="1947545" distB="0" distL="114300" distR="114300" simplePos="0" relativeHeight="125829382" behindDoc="0" locked="0" layoutInCell="1" allowOverlap="1">
            <wp:simplePos x="0" y="0"/>
            <wp:positionH relativeFrom="page">
              <wp:posOffset>727075</wp:posOffset>
            </wp:positionH>
            <wp:positionV relativeFrom="paragraph">
              <wp:posOffset>1998345</wp:posOffset>
            </wp:positionV>
            <wp:extent cx="2597150" cy="70104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2597150" cy="701040"/>
                    </a:xfrm>
                    <a:prstGeom prst="rect"/>
                  </pic:spPr>
                </pic:pic>
              </a:graphicData>
            </a:graphic>
          </wp:anchor>
        </w:drawing>
      </w:r>
      <w:r>
        <w:rPr>
          <w:color w:val="000000"/>
          <w:spacing w:val="0"/>
          <w:w w:val="100"/>
          <w:position w:val="0"/>
          <w:shd w:val="clear" w:color="auto" w:fill="auto"/>
          <w:lang w:val="ru-RU" w:eastAsia="ru-RU" w:bidi="ru-RU"/>
        </w:rPr>
        <w:t>ГБУК г. Москвы «ПКИО «Сокольники»</w:t>
      </w:r>
    </w:p>
    <w:p>
      <w:pPr>
        <w:pStyle w:val="Style9"/>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а1е8капоVV^@си1^и^е.то8.^и</w:t>
      </w:r>
    </w:p>
    <w:p>
      <w:pPr>
        <w:pStyle w:val="Style9"/>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Департамент города Москвы по конкурентной политике</w:t>
      </w:r>
    </w:p>
    <w:p>
      <w:pPr>
        <w:pStyle w:val="Style9"/>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то81епдег@то8.ги</w:t>
      </w:r>
    </w:p>
    <w:p>
      <w:pPr>
        <w:pStyle w:val="Style9"/>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ООО «ГРИН ПАРК»</w:t>
      </w:r>
    </w:p>
    <w:p>
      <w:pPr>
        <w:pStyle w:val="Style9"/>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1\а1-1У1\@'таП.П1</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750"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№077/06/106-13039/2024 о нарушении</w:t>
        <w:br/>
        <w:t>законодательства о контрактной системе</w:t>
        <w:br/>
        <w:t>30.09.2024</w:t>
        <w:tab/>
        <w:t>г. Москва</w:t>
      </w:r>
    </w:p>
    <w:p>
      <w:pPr>
        <w:pStyle w:val="Style9"/>
        <w:keepNext w:val="0"/>
        <w:keepLines w:val="0"/>
        <w:widowControl w:val="0"/>
        <w:shd w:val="clear" w:color="auto" w:fill="auto"/>
        <w:bidi w:val="0"/>
        <w:spacing w:before="0" w:after="40" w:line="240" w:lineRule="auto"/>
        <w:ind w:left="0" w:right="0" w:firstLine="700"/>
        <w:jc w:val="both"/>
      </w:pPr>
      <w:r>
        <w:rPr>
          <w:color w:val="000000"/>
          <w:spacing w:val="0"/>
          <w:w w:val="100"/>
          <w:position w:val="0"/>
          <w:shd w:val="clear" w:color="auto" w:fill="auto"/>
          <w:lang w:val="ru-RU" w:eastAsia="ru-RU" w:bidi="ru-RU"/>
        </w:rPr>
        <w:t xml:space="preserve">Комиссия Управления Федеральной антимонопольной службы по г. Москве по контролю в сфере закупок товаров, работ, услуг (далее - Комиссия Управления) в </w:t>
      </w:r>
      <w:r>
        <w:rPr>
          <w:color w:val="000000"/>
          <w:spacing w:val="0"/>
          <w:w w:val="100"/>
          <w:position w:val="0"/>
          <w:shd w:val="clear" w:color="auto" w:fill="auto"/>
          <w:lang w:val="ru-RU" w:eastAsia="ru-RU" w:bidi="ru-RU"/>
        </w:rPr>
        <w:t>составе: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О.А. Челновой,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ООО «ГРИН ПАРК»: Д.В. Доброштан (доверенность от 05.12.2023 №13), Е.В. Филлиповой (доверенность от 05.12.2023 №б/н), Е.Ю. Петровой (доверенность от 28.11.2023),</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ГБУК г. Москвы «ПКИО «Сокольники»: Е.А. Титчевой (доверенность от 18.08.2024 №01-01-11-50/24),</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Департамента города Москвы по конкурентной политике: А.А. Арзуманян (доверенность от 09.01.2024 №77-13-1/24-2),</w:t>
      </w:r>
    </w:p>
    <w:p>
      <w:pPr>
        <w:pStyle w:val="Style9"/>
        <w:keepNext w:val="0"/>
        <w:keepLines w:val="0"/>
        <w:widowControl w:val="0"/>
        <w:shd w:val="clear" w:color="auto" w:fill="auto"/>
        <w:bidi w:val="0"/>
        <w:spacing w:before="0" w:after="480"/>
        <w:ind w:left="0" w:right="0" w:firstLine="700"/>
        <w:jc w:val="both"/>
      </w:pPr>
      <w:r>
        <w:rPr>
          <w:color w:val="000000"/>
          <w:spacing w:val="0"/>
          <w:w w:val="100"/>
          <w:position w:val="0"/>
          <w:shd w:val="clear" w:color="auto" w:fill="auto"/>
          <w:lang w:val="ru-RU" w:eastAsia="ru-RU" w:bidi="ru-RU"/>
        </w:rPr>
        <w:t>рассмотрев жалобу ООО «ГРИН ПАРК» (далее — Заявитель) на действия ГБУК г. Москвы «ПКИО «Сокольники» (далее — Заказчик) при проведении открытого конкурса в электронной форме на право заключения государственного контракта на выполнение работ по удалению сухостойных, аварийных и упавших (валежных) деревьев в границах части особо охраняемой природной территории</w:t>
      </w:r>
    </w:p>
    <w:p>
      <w:pPr>
        <w:pStyle w:val="Style14"/>
        <w:keepNext/>
        <w:keepLines/>
        <w:widowControl w:val="0"/>
        <w:shd w:val="clear" w:color="auto" w:fill="auto"/>
        <w:bidi w:val="0"/>
        <w:spacing w:before="0" w:after="240" w:line="240" w:lineRule="auto"/>
        <w:ind w:left="0" w:right="0"/>
        <w:jc w:val="both"/>
        <w:rPr>
          <w:sz w:val="28"/>
          <w:szCs w:val="28"/>
        </w:rPr>
      </w:pPr>
      <w:bookmarkStart w:id="0" w:name="bookmark0"/>
      <w:r>
        <w:rPr>
          <w:color w:val="000000"/>
          <w:spacing w:val="0"/>
          <w:w w:val="100"/>
          <w:position w:val="0"/>
          <w:sz w:val="34"/>
          <w:szCs w:val="34"/>
          <w:shd w:val="clear" w:color="auto" w:fill="auto"/>
          <w:lang w:val="ru-RU" w:eastAsia="ru-RU" w:bidi="ru-RU"/>
        </w:rPr>
        <w:t>||||||||||||||||||||||||||||</w:t>
      </w:r>
      <w:bookmarkEnd w:id="0"/>
      <w:r>
        <w:rPr>
          <w:color w:val="000000"/>
          <w:spacing w:val="0"/>
          <w:w w:val="100"/>
          <w:position w:val="0"/>
          <w:sz w:val="34"/>
          <w:szCs w:val="34"/>
          <w:shd w:val="clear" w:color="auto" w:fill="auto"/>
          <w:lang w:val="ru-RU" w:eastAsia="ru-RU" w:bidi="ru-RU"/>
        </w:rPr>
        <w:t xml:space="preserve"> </w:t>
      </w:r>
      <w:r>
        <w:rPr>
          <w:rStyle w:val="CharStyle10"/>
        </w:rPr>
        <w:t>федерального значения «Национальный парк «Лосиный остров» на территории ГБУК г. Москвы «ПКиО «Сокольники» (Закупка № 0173200001424001307) (далее — конкурс),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конкурса.</w:t>
      </w:r>
    </w:p>
    <w:p>
      <w:pPr>
        <w:pStyle w:val="Style9"/>
        <w:keepNext w:val="0"/>
        <w:keepLines w:val="0"/>
        <w:widowControl w:val="0"/>
        <w:shd w:val="clear" w:color="auto" w:fill="auto"/>
        <w:bidi w:val="0"/>
        <w:spacing w:before="0" w:after="0"/>
        <w:ind w:left="0" w:right="0" w:firstLine="720"/>
        <w:jc w:val="both"/>
      </w:pPr>
      <w:r>
        <w:rPr>
          <w:color w:val="00000A"/>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комиссией по осуществлению закупок Заказчика нарушены нормы Закона о контрактной системе в результате отклонения заявки Заявителя.</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протоколу рассмотрения и оценки вторых частей заявок на участие в открытом конкурсе в электронной форме от 17.09.2024 №ПРОШ заявка участника закупки ООО «ГРИН ПАРК», с идентификационным номером заявки 3, отклонена комиссией по осуществлению закупок Заказчика на следующем основании: «</w:t>
      </w:r>
      <w:r>
        <w:rPr>
          <w:i/>
          <w:iCs/>
          <w:color w:val="000000"/>
          <w:spacing w:val="0"/>
          <w:w w:val="100"/>
          <w:position w:val="0"/>
          <w:shd w:val="clear" w:color="auto" w:fill="auto"/>
          <w:lang w:val="ru-RU" w:eastAsia="ru-RU" w:bidi="ru-RU"/>
        </w:rPr>
        <w:t>Заявка участника отклоняется в соответствии с подпунктом «а» пункта 1 части 11 статьи 48 признана не соответствующей требованиям на основании п.3 ч.12 ст. 48 Федерального закона от 05.04.2013 ^ 44-ФЗ «О контрактной системе в сфере закупок товаров, работ, услуг для обеспечения государственных и муниципальных нужд» и информационной карты по проведению конкурса в электронной форме (п.15.2 раздела II. «Требования, предъявляемые к участникам закупки и необходимый перечень документов для участия в закупке. Подача заявок на участие в открытом конкурсе в электронной форме.»), а именно:</w:t>
      </w:r>
    </w:p>
    <w:p>
      <w:pPr>
        <w:pStyle w:val="Style9"/>
        <w:keepNext w:val="0"/>
        <w:keepLines w:val="0"/>
        <w:widowControl w:val="0"/>
        <w:shd w:val="clear" w:color="auto" w:fill="auto"/>
        <w:bidi w:val="0"/>
        <w:spacing w:before="0" w:after="280"/>
        <w:ind w:left="0" w:right="0" w:firstLine="720"/>
        <w:jc w:val="both"/>
      </w:pPr>
      <w:r>
        <w:rPr>
          <w:i/>
          <w:iCs/>
          <w:color w:val="000000"/>
          <w:spacing w:val="0"/>
          <w:w w:val="100"/>
          <w:position w:val="0"/>
          <w:shd w:val="clear" w:color="auto" w:fill="auto"/>
          <w:lang w:val="ru-RU" w:eastAsia="ru-RU" w:bidi="ru-RU"/>
        </w:rPr>
        <w:t>- В соответствии с требованием извещения (информационной карты конкурса в электронной форме) и согласно ч.2.1 ст.31 Закона о контрактной системе: Установлено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заключенного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w:t>
      </w:r>
    </w:p>
    <w:p>
      <w:pPr>
        <w:pStyle w:val="Style9"/>
        <w:keepNext w:val="0"/>
        <w:keepLines w:val="0"/>
        <w:widowControl w:val="0"/>
        <w:shd w:val="clear" w:color="auto" w:fill="auto"/>
        <w:bidi w:val="0"/>
        <w:spacing w:before="0" w:after="0" w:line="254" w:lineRule="auto"/>
        <w:ind w:left="0" w:right="0" w:firstLine="0"/>
        <w:jc w:val="both"/>
      </w:pPr>
      <w:r>
        <w:rPr>
          <w:i/>
          <w:iCs/>
          <w:color w:val="000000"/>
          <w:spacing w:val="0"/>
          <w:w w:val="100"/>
          <w:position w:val="0"/>
          <w:shd w:val="clear" w:color="auto" w:fill="auto"/>
          <w:lang w:val="ru-RU" w:eastAsia="ru-RU" w:bidi="ru-RU"/>
        </w:rPr>
        <w:t>(максимальной) цены контракта.</w:t>
      </w:r>
    </w:p>
    <w:p>
      <w:pPr>
        <w:pStyle w:val="Style9"/>
        <w:keepNext w:val="0"/>
        <w:keepLines w:val="0"/>
        <w:widowControl w:val="0"/>
        <w:shd w:val="clear" w:color="auto" w:fill="auto"/>
        <w:bidi w:val="0"/>
        <w:spacing w:before="0" w:after="0" w:line="254" w:lineRule="auto"/>
        <w:ind w:left="0" w:right="0" w:firstLine="720"/>
        <w:jc w:val="both"/>
      </w:pPr>
      <w:r>
        <w:rPr>
          <w:i/>
          <w:iCs/>
          <w:color w:val="000000"/>
          <w:spacing w:val="0"/>
          <w:w w:val="100"/>
          <w:position w:val="0"/>
          <w:shd w:val="clear" w:color="auto" w:fill="auto"/>
          <w:lang w:val="ru-RU" w:eastAsia="ru-RU" w:bidi="ru-RU"/>
        </w:rPr>
        <w:t>Участником представлен Гражданско-правовой договор от 01.11.2021, заключенный с коллективным участником. Вместе с тем, договор в подтверждение дополнительного требования должен быть заключен с участником закупки и исполнен участником закупки в полном объеме, то есть выполнение работ, оказание услуг по соответствующему договору должно быть завершено, что будет являться подтверждением наличия опыта у конкретного лица, позволяющего сделать вывод об объеме выполненных работ, оказанных услуг непосредственно этим участником».</w:t>
      </w:r>
    </w:p>
    <w:p>
      <w:pPr>
        <w:pStyle w:val="Style9"/>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9"/>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9"/>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 силу ч.2.1 ст.31 Закона о контрактной системе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ч.2 ст.31 Закона о контрактной системе)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9"/>
        <w:keepNext w:val="0"/>
        <w:keepLines w:val="0"/>
        <w:widowControl w:val="0"/>
        <w:shd w:val="clear" w:color="auto" w:fill="auto"/>
        <w:bidi w:val="0"/>
        <w:spacing w:before="0" w:after="0" w:line="257"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Согласно п.9 ч.1 ст.42 Закона о контрактной системе извещение об осуществлении закупки должно содержать информацию о начальной (максимальной) цене контракта (цена отдельных этапов исполнения контракта, если проектом контракта предусмотрены такие этапы), источнике финансирования, наименовании валюты в соответствии с общероссийским классификатором валют. В случае, предусмотренном ч.24 ст.22 Закона о контрактной системе,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w:t>
      </w:r>
      <w:r>
        <w:rPr>
          <w:color w:val="000000"/>
          <w:spacing w:val="0"/>
          <w:w w:val="100"/>
          <w:position w:val="0"/>
          <w:sz w:val="24"/>
          <w:szCs w:val="24"/>
          <w:shd w:val="clear" w:color="auto" w:fill="auto"/>
          <w:lang w:val="ru-RU" w:eastAsia="ru-RU" w:bidi="ru-RU"/>
        </w:rPr>
        <w:t>2024-46036</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установленных Правительством Российской Федерации в соответствии с ч.2 ст.34 Закона о контрактной системе, указываются ориентировочное значение цены контракта либо формула цены и максимальное значение цены контракта.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ч.5 ст.31 Закона о контрактной системе информация об установленных требованиях в соответствии с ч.1, 1.1, 2 и 2.1 ст. 31 Закона о контрактной системе указывается заказчиком в извещении об осуществлении закупки и документации о закупке (в случае, если настоящим Законом о контрактной системе предусмотрена документация о закупке).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открытого конкурса в электронной форме от 28.08.2024 №0173200001424001307, начальная (максимальная) цена контракта, заключаемого по результатам закупочной процедуры, составляет 216 999 827,98 руб., при этом в составе извещения Заказчиком установлены дополнительные требования к участникам закупки в соответствии с ч.2.1 ст.31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п.4 Постановления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 установлено, что информацией и документами, подтверждающими соответствие участника закупки дополнительному требованию, установленному в соответствии с ч.2.1 ст.31 Закона о контрактной системе, являются информация и документы, предусмотренные хотя бы одним из следующих подпунктов:</w:t>
      </w:r>
    </w:p>
    <w:p>
      <w:pPr>
        <w:pStyle w:val="Style9"/>
        <w:keepNext w:val="0"/>
        <w:keepLines w:val="0"/>
        <w:widowControl w:val="0"/>
        <w:numPr>
          <w:ilvl w:val="0"/>
          <w:numId w:val="1"/>
        </w:numPr>
        <w:shd w:val="clear" w:color="auto" w:fill="auto"/>
        <w:tabs>
          <w:tab w:pos="1080" w:val="left"/>
        </w:tabs>
        <w:bidi w:val="0"/>
        <w:spacing w:before="0" w:after="0"/>
        <w:ind w:left="0" w:right="0" w:firstLine="700"/>
        <w:jc w:val="both"/>
      </w:pPr>
      <w:r>
        <w:rPr>
          <w:color w:val="000000"/>
          <w:spacing w:val="0"/>
          <w:w w:val="100"/>
          <w:position w:val="0"/>
          <w:shd w:val="clear" w:color="auto" w:fill="auto"/>
          <w:lang w:val="ru-RU" w:eastAsia="ru-RU" w:bidi="ru-RU"/>
        </w:rPr>
        <w:t>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pPr>
        <w:pStyle w:val="Style9"/>
        <w:keepNext w:val="0"/>
        <w:keepLines w:val="0"/>
        <w:widowControl w:val="0"/>
        <w:numPr>
          <w:ilvl w:val="0"/>
          <w:numId w:val="1"/>
        </w:numPr>
        <w:shd w:val="clear" w:color="auto" w:fill="auto"/>
        <w:tabs>
          <w:tab w:pos="1080" w:val="left"/>
        </w:tabs>
        <w:bidi w:val="0"/>
        <w:spacing w:before="0" w:after="0"/>
        <w:ind w:left="0" w:right="0" w:firstLine="700"/>
        <w:jc w:val="both"/>
        <w:sectPr>
          <w:footnotePr>
            <w:pos w:val="pageBottom"/>
            <w:numFmt w:val="decimal"/>
            <w:numRestart w:val="continuous"/>
          </w:footnotePr>
          <w:type w:val="continuous"/>
          <w:pgSz w:w="11900" w:h="16840"/>
          <w:pgMar w:top="999" w:right="538" w:bottom="859" w:left="1091" w:header="0" w:footer="3" w:gutter="0"/>
          <w:cols w:space="720"/>
          <w:noEndnote/>
          <w:rtlGutter w:val="0"/>
          <w:docGrid w:linePitch="360"/>
        </w:sectPr>
      </w:pPr>
      <w:r>
        <w:rPr>
          <w:color w:val="000000"/>
          <w:spacing w:val="0"/>
          <w:w w:val="100"/>
          <w:position w:val="0"/>
          <w:shd w:val="clear" w:color="auto" w:fill="auto"/>
          <w:lang w:val="ru-RU" w:eastAsia="ru-RU" w:bidi="ru-RU"/>
        </w:rPr>
        <w:t>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pPr>
        <w:pStyle w:val="Style9"/>
        <w:keepNext w:val="0"/>
        <w:keepLines w:val="0"/>
        <w:widowControl w:val="0"/>
        <w:numPr>
          <w:ilvl w:val="0"/>
          <w:numId w:val="1"/>
        </w:numPr>
        <w:shd w:val="clear" w:color="auto" w:fill="auto"/>
        <w:tabs>
          <w:tab w:pos="108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силу ч.2 ст.48 Закона о контрактной системе в том числе установлено, что вторая часть должна содержать информацию и документы, предусмотренные пп.«м» - «р» п.1, пп.«в» п.2, п.5 ч.1 ст.43 Закона о контрактной системе.</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пп.«н» п.1 ч.1 ст.43 Закона о контрактной системе заявка на участие в закупке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ч.2 и 2.1 (при наличии таких требований) ст.31 Закона о контрактной системе, если иное не предусмотрено Законом о контрактной системе.</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п.3 ч.6 ст.43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ч.2 или 2.1 (при наличии таких требований) ст.31 Закона о контрактной системе, и предусмотренные пп.«н» п.1 ч.1 ст.43 Закона о контрактной системе, не включаются участником закупки в заявку на участие в закупке. Такие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рамках п.3 ч.6 ст.43 Закона о контрактной системе, оператором электронной площадки в том числе направлен Гражданско-правовой договор № 155/21, заключенный между ООО «ГРИН ПАРК» и ГАУК г. Москвы «МПК «Северное Тушино», на оказание услуг по содержанию и уборке территории парков Химки-2 (Покровский берег), зона отдыха Левобережье, парк Дружбы для нужд ГАУК г.Москвы «МПК «Северное Тушино».</w:t>
      </w:r>
    </w:p>
    <w:p>
      <w:pPr>
        <w:pStyle w:val="Style9"/>
        <w:keepNext w:val="0"/>
        <w:keepLines w:val="0"/>
        <w:widowControl w:val="0"/>
        <w:shd w:val="clear" w:color="auto" w:fill="auto"/>
        <w:bidi w:val="0"/>
        <w:spacing w:before="0" w:after="0" w:line="259"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ч.11 ст.48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п.2 ч.10 ст.48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w:t>
      </w:r>
      <w:r>
        <w:rPr>
          <w:color w:val="000000"/>
          <w:spacing w:val="0"/>
          <w:w w:val="100"/>
          <w:position w:val="0"/>
          <w:sz w:val="24"/>
          <w:szCs w:val="24"/>
          <w:shd w:val="clear" w:color="auto" w:fill="auto"/>
          <w:lang w:val="ru-RU" w:eastAsia="ru-RU" w:bidi="ru-RU"/>
        </w:rPr>
        <w:t>2024-46036</w:t>
      </w:r>
    </w:p>
    <w:p>
      <w:pPr>
        <w:pStyle w:val="Style9"/>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осуществлении закупки:</w:t>
      </w:r>
    </w:p>
    <w:p>
      <w:pPr>
        <w:pStyle w:val="Style9"/>
        <w:keepNext w:val="0"/>
        <w:keepLines w:val="0"/>
        <w:widowControl w:val="0"/>
        <w:numPr>
          <w:ilvl w:val="0"/>
          <w:numId w:val="3"/>
        </w:numPr>
        <w:shd w:val="clear" w:color="auto" w:fill="auto"/>
        <w:tabs>
          <w:tab w:pos="105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члены комиссии по осуществлению закупок:</w:t>
      </w:r>
    </w:p>
    <w:p>
      <w:pPr>
        <w:pStyle w:val="Style9"/>
        <w:keepNext w:val="0"/>
        <w:keepLines w:val="0"/>
        <w:widowControl w:val="0"/>
        <w:numPr>
          <w:ilvl w:val="0"/>
          <w:numId w:val="5"/>
        </w:numPr>
        <w:shd w:val="clear" w:color="auto" w:fill="auto"/>
        <w:tabs>
          <w:tab w:pos="105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п.2 ч.10 ст.48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9"/>
        <w:keepNext w:val="0"/>
        <w:keepLines w:val="0"/>
        <w:widowControl w:val="0"/>
        <w:numPr>
          <w:ilvl w:val="0"/>
          <w:numId w:val="5"/>
        </w:numPr>
        <w:shd w:val="clear" w:color="auto" w:fill="auto"/>
        <w:tabs>
          <w:tab w:pos="105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п.4 ч.1 ст.32 Закона о контрактной системе (если такой критерий установлен извещением об осуществлении закупки);</w:t>
      </w:r>
    </w:p>
    <w:p>
      <w:pPr>
        <w:pStyle w:val="Style9"/>
        <w:keepNext w:val="0"/>
        <w:keepLines w:val="0"/>
        <w:widowControl w:val="0"/>
        <w:numPr>
          <w:ilvl w:val="0"/>
          <w:numId w:val="3"/>
        </w:numPr>
        <w:shd w:val="clear" w:color="auto" w:fill="auto"/>
        <w:tabs>
          <w:tab w:pos="105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представленный Заказчику договор является надлежащим подтверждением наличия у участника закупки исполненных обязательств, который исполнен участником закупки в полном объеме, что подтверждается также представленными актами, в соответствии с требованиями ч.2.1 ст.31 Закона о контрактной системе, п.4 Постановления №2571, ввиду чего отклонение заявки участника закупки является неправомерным.</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57"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На заседании Комиссии Управления представитель уполномоченного органа пояснил, что в составе документов, направленных оператором элеронной площадки в рамках п.3 ч.6 ст.43 Закона о контрактной системе, представлен договор №155/21 от 01.11.2021, заключенный между ООО «ГРИН ПАРК» и ГАУК г. Москвы «МПК «Северное Тушино» на оказание услуг по содержанию и уборке территории парков Химки-2 (Покровский берег), зона отдыха Левобережье, парк Дружбы для нужд ГАУК г.Москвы «МПК «Северное Тушино», однако в составе представленного документа отсутствуют сведения позволяющие Заказчику определить объем работ, выполненный в рамках такого договора непосредственно ООО «ГРИН ПАРК», ввиду чего представленный договор не может быть рассмотрен комиссией по </w:t>
      </w:r>
      <w:r>
        <w:rPr>
          <w:color w:val="000000"/>
          <w:spacing w:val="0"/>
          <w:w w:val="100"/>
          <w:position w:val="0"/>
          <w:sz w:val="24"/>
          <w:szCs w:val="24"/>
          <w:shd w:val="clear" w:color="auto" w:fill="auto"/>
          <w:lang w:val="ru-RU" w:eastAsia="ru-RU" w:bidi="ru-RU"/>
        </w:rPr>
        <w:t>2024-46036</w:t>
      </w:r>
    </w:p>
    <w:p>
      <w:pPr>
        <w:pStyle w:val="Style9"/>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осуществлению закупок как надлежащие подтверждение наличия у участника закупки исполненных обязательств по спорному договору.</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обоснование своей позиции представитель уполномоченного органа пояснил, что в рамках закупочной процедуры № 32110666155 Заявителем была подана заявка коллективного участника, в которой ООО «ГРИН ПАРК» является ведущим партнером и договор №155/21 от 01.11.2021, в связи с чем договор подлежал заключению с коллективным участником. При этом, исходя из положений Постановления №2571, представленный участником закупки договор и акт приемки выполненных работ должны подтверждать, на какую сумму участник закупки выполнил соответствующие работы. Вместе с тем, в рассматриваемом случае, из представленного договора заключенного с коллективным участником закупки не представляется возможным определить, на какую сумму выполнены работы непосредственно ООО «ГРИН ПАРК», что свидетельствует о том, что Заявителем не подтвержден опыт в соответствии с положениями Постановления №2571.</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Вместе с тем согласно положению о закупках товаров, работ, услуг для нужд Государственного автономного учреждения культуры города Москвы «Музейно</w:t>
        <w:softHyphen/>
        <w:t>парковый комплекс «Северное Тушино» определено:</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«Если заявка на участие в закупке подается коллективным участником, то заявка таким участником закупки должна быть представлена в соответствии с нижеприведенными требованиями:</w:t>
      </w:r>
    </w:p>
    <w:p>
      <w:pPr>
        <w:pStyle w:val="Style9"/>
        <w:keepNext w:val="0"/>
        <w:keepLines w:val="0"/>
        <w:widowControl w:val="0"/>
        <w:numPr>
          <w:ilvl w:val="0"/>
          <w:numId w:val="7"/>
        </w:numPr>
        <w:shd w:val="clear" w:color="auto" w:fill="auto"/>
        <w:tabs>
          <w:tab w:pos="106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заявка на участие в закупке подается лидером коллективного участника со ссылкой на то, что он представляет интересы всех лиц, входящих в состав коллективного участника;</w:t>
      </w:r>
    </w:p>
    <w:p>
      <w:pPr>
        <w:pStyle w:val="Style9"/>
        <w:keepNext w:val="0"/>
        <w:keepLines w:val="0"/>
        <w:widowControl w:val="0"/>
        <w:numPr>
          <w:ilvl w:val="0"/>
          <w:numId w:val="7"/>
        </w:numPr>
        <w:shd w:val="clear" w:color="auto" w:fill="auto"/>
        <w:tabs>
          <w:tab w:pos="106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в составе заявки на участие в закупке предоставляется копия соглашения между лицами, являющимися членами коллективного участника.</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Лица, входящие в состав коллективного участника, заключают соглашение, соответствующее нормам Гражданского кодекса Российской Федерации и отвечающее следующим требованиям:</w:t>
      </w:r>
    </w:p>
    <w:p>
      <w:pPr>
        <w:pStyle w:val="Style9"/>
        <w:keepNext w:val="0"/>
        <w:keepLines w:val="0"/>
        <w:widowControl w:val="0"/>
        <w:numPr>
          <w:ilvl w:val="0"/>
          <w:numId w:val="7"/>
        </w:numPr>
        <w:shd w:val="clear" w:color="auto" w:fill="auto"/>
        <w:tabs>
          <w:tab w:pos="106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соглашении должно быть установлено согласие каждого лица на принятие обязательств по участию в закупке и исполнению договора;</w:t>
      </w:r>
    </w:p>
    <w:p>
      <w:pPr>
        <w:pStyle w:val="Style9"/>
        <w:keepNext w:val="0"/>
        <w:keepLines w:val="0"/>
        <w:widowControl w:val="0"/>
        <w:numPr>
          <w:ilvl w:val="0"/>
          <w:numId w:val="7"/>
        </w:numPr>
        <w:shd w:val="clear" w:color="auto" w:fill="auto"/>
        <w:tabs>
          <w:tab w:pos="106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соглашении должны быть четко определены права и обязанности сторон как в рамках участия в закупке, так и в рамках исполнения договора;</w:t>
      </w:r>
    </w:p>
    <w:p>
      <w:pPr>
        <w:pStyle w:val="Style9"/>
        <w:keepNext w:val="0"/>
        <w:keepLines w:val="0"/>
        <w:widowControl w:val="0"/>
        <w:numPr>
          <w:ilvl w:val="0"/>
          <w:numId w:val="7"/>
        </w:numPr>
        <w:shd w:val="clear" w:color="auto" w:fill="auto"/>
        <w:tabs>
          <w:tab w:pos="106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соглашении должны быть четко распределены обязательства по договору между членами коллективного участника;</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соглашением должен быть установлен лидер коллективного участника закупки, который в дальнейшем представляет интересы каждой из сторон, входящих в состав коллективного участника, во взаимоотношениях с заказчиком».</w:t>
      </w:r>
    </w:p>
    <w:p>
      <w:pPr>
        <w:pStyle w:val="Style9"/>
        <w:keepNext w:val="0"/>
        <w:keepLines w:val="0"/>
        <w:widowControl w:val="0"/>
        <w:shd w:val="clear" w:color="auto" w:fill="auto"/>
        <w:bidi w:val="0"/>
        <w:spacing w:before="0" w:after="0" w:line="259"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Кроме того, представитель уполномоченного органа пояснил, что согласно письму Министерства экономического развития Российской Федерации от 30 октября 2015 г. №Д28и-3153 определено: «В случае если победителем в процедуре закупки признан участник закупки, на стороне которого выступали несколько физических или юридических лиц, заказчиком должен быть заключен один договор со всеми юридическими или физическими лицами, выступавшими на </w:t>
      </w:r>
      <w:r>
        <w:rPr>
          <w:color w:val="000000"/>
          <w:spacing w:val="0"/>
          <w:w w:val="100"/>
          <w:position w:val="0"/>
          <w:sz w:val="24"/>
          <w:szCs w:val="24"/>
          <w:shd w:val="clear" w:color="auto" w:fill="auto"/>
          <w:lang w:val="ru-RU" w:eastAsia="ru-RU" w:bidi="ru-RU"/>
        </w:rPr>
        <w:t>2024-46036</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стороне победившего участника закупки, при этом непосредственно подписание договора может осуществляться одним лицом, действующим от имени всех остальных лиц по доверенности или на основании договора простого товарищества, совершенного в письменной форме. Указанные лица солидарно отвечают перед заказчиком за исполнение обязательств, предусмотренных договором, заключенным по результатам процедуры закупки в соответствии со ст. ст. 321 - 325, 1047 ГК РФ».</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на заседании Комиссии Управления Заявителем не представлено документов и сведений, свидетельствующих, что в составе документов, размещенных ООО «ГРИН ПАРК» и направленных оператором электронной площадки в соответствии с положениями п.3 ч.6 ст.43 Закона о контрактной системе, представлена информация, позволяющая определить объем исполненных непосредственно ООО «ГРИН ПАРК» обязательств.</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представители Заявителя указали на неправомерные действия комиссии Заказчика, выразившиеся в неправомерном принятии решении отклонить заявку на основании сведений, прямо не относящихся к порядку подтверждения соответствия участника дополнительным требованиям в соответствии с ч.2.1 ст.31 Закона о контрактной системе в рамках участия в рассматриваемой закупке, поскольку представленные документы в полной мере отвечают требованиям Постановления № 2571 и свидетельствуют о факте исполнения контракта ООО «ГРИН ПАРК» лично.</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Однако, представители Заявителя на заседании Комиссии Управления не оспаривали факт подачи заявки на участие в закупке №32110666155 коллективным участником в закупочной процедуре, по результатам которой заключен представленный в качестве подтверждения соответствия дополнительным требованиям договор, а также наличие в составе заявки на участие в закупке №32110666155 соглашения, определяющего права и обязанности сторон как в рамках участия в закупке, так и в рамках исполнения договора.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Комиссия Управления отмечает, что комиссия по осуществлению закупки при рассмотрении заявок участников закупки не ограничена в праве выявления дополнительной информации в целях определения соответствия участника установленным требованиям.</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Учитывая выявленные обстоятельства заключения представленного договора по результатам закупки, в которой Заявитель участвовал как лидер коллективного участника, заключивший соглашение о создании консорциума с иными партнерами, содержащее подтверждение намерения каждой из стороны соглашения выступить в качестве соисполнителей Контракта, заключенного по итогам конкурса или в рамках договоров субподряда, у комиссии по осуществлении закупки отсутствуют основания полагать, что представленный договор исполнен лично ООО «ГРИН ПАРК» в полном объеме без привлечения субподрядных организаций.</w:t>
      </w:r>
    </w:p>
    <w:p>
      <w:pPr>
        <w:pStyle w:val="Style9"/>
        <w:keepNext w:val="0"/>
        <w:keepLines w:val="0"/>
        <w:widowControl w:val="0"/>
        <w:shd w:val="clear" w:color="auto" w:fill="auto"/>
        <w:bidi w:val="0"/>
        <w:spacing w:before="0" w:after="0" w:line="262" w:lineRule="auto"/>
        <w:ind w:left="0" w:right="0" w:firstLine="700"/>
        <w:jc w:val="both"/>
        <w:rPr>
          <w:sz w:val="24"/>
          <w:szCs w:val="24"/>
        </w:rPr>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62" w:right="541" w:bottom="692" w:left="1106" w:header="0" w:footer="26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Вместе с тем Заявителем не представлено сведений, доказывающих обратное, а также подтверждающих обоснованность доводов жалобы и свидетельствующих о нарушении Заказчиком положений Закона о контрактной системе при рассмотрении заявок участников закупки. </w:t>
      </w:r>
      <w:r>
        <w:rPr>
          <w:color w:val="000000"/>
          <w:spacing w:val="0"/>
          <w:w w:val="100"/>
          <w:position w:val="0"/>
          <w:sz w:val="24"/>
          <w:szCs w:val="24"/>
          <w:shd w:val="clear" w:color="auto" w:fill="auto"/>
          <w:lang w:val="ru-RU" w:eastAsia="ru-RU" w:bidi="ru-RU"/>
        </w:rPr>
        <w:t>2024-46036</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2 и 2.1 (при наличии таких требований) статьи 31 Закона о контрактной системе;</w:t>
      </w:r>
    </w:p>
    <w:p>
      <w:pPr>
        <w:pStyle w:val="Style9"/>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пунктом 5 части 1 ст.43 Закона о контрактной системе);</w:t>
      </w:r>
    </w:p>
    <w:p>
      <w:pPr>
        <w:pStyle w:val="Style9"/>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п.5 ч.1 ст.43 Закона о контрактной системе ,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9"/>
        </w:numPr>
        <w:shd w:val="clear" w:color="auto" w:fill="auto"/>
        <w:tabs>
          <w:tab w:pos="1770"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9"/>
        <w:keepNext w:val="0"/>
        <w:keepLines w:val="0"/>
        <w:widowControl w:val="0"/>
        <w:numPr>
          <w:ilvl w:val="0"/>
          <w:numId w:val="9"/>
        </w:numPr>
        <w:shd w:val="clear" w:color="auto" w:fill="auto"/>
        <w:tabs>
          <w:tab w:pos="1070" w:val="left"/>
        </w:tabs>
        <w:bidi w:val="0"/>
        <w:spacing w:before="0" w:after="0"/>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у комиссии по осуществлению закупок Заказчика имелись основания для признания заявки Заявителя не соответствующей требованиям законодательства о контрактной системе, ввиду чего решение об отклонении заявки Заявителя является правомерным.</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w:t>
      </w:r>
      <w:r>
        <w:br w:type="page"/>
      </w:r>
    </w:p>
    <w:p>
      <w:pPr>
        <w:pStyle w:val="Style9"/>
        <w:keepNext w:val="0"/>
        <w:keepLines w:val="0"/>
        <w:widowControl w:val="0"/>
        <w:shd w:val="clear" w:color="auto" w:fill="auto"/>
        <w:bidi w:val="0"/>
        <w:spacing w:before="0" w:after="980" w:line="240" w:lineRule="auto"/>
        <w:ind w:left="0" w:right="0" w:firstLine="0"/>
        <w:jc w:val="left"/>
      </w:pPr>
      <w:r>
        <w:rPr>
          <w:color w:val="000000"/>
          <w:spacing w:val="0"/>
          <w:w w:val="100"/>
          <w:position w:val="0"/>
          <w:shd w:val="clear" w:color="auto" w:fill="auto"/>
          <w:lang w:val="ru-RU" w:eastAsia="ru-RU" w:bidi="ru-RU"/>
        </w:rPr>
        <w:t>контрактной системе, Комиссия Управления</w:t>
      </w:r>
    </w:p>
    <w:p>
      <w:pPr>
        <w:pStyle w:val="Style9"/>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1. Признать жалобу ООО «ГРИН ПАРК» на действия комиссии по осуществлению закупок ГБУК г. Москвы «ПКИО «Сокольники» необоснованной.</w:t>
      </w:r>
    </w:p>
    <w:p>
      <w:pPr>
        <w:pStyle w:val="Style9"/>
        <w:keepNext w:val="0"/>
        <w:keepLines w:val="0"/>
        <w:widowControl w:val="0"/>
        <w:shd w:val="clear" w:color="auto" w:fill="auto"/>
        <w:bidi w:val="0"/>
        <w:spacing w:before="0" w:after="300"/>
        <w:ind w:left="0" w:right="0" w:firstLine="70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62" w:right="531" w:bottom="1133" w:left="1103" w:header="0" w:footer="3" w:gutter="0"/>
          <w:cols w:space="720"/>
          <w:noEndnote/>
          <w:rtlGutter w:val="0"/>
          <w:docGrid w:linePitch="360"/>
        </w:sectPr>
      </w:pPr>
      <w:r>
        <mc:AlternateContent>
          <mc:Choice Requires="wps">
            <w:drawing>
              <wp:anchor distT="558800" distB="216535" distL="0" distR="0" simplePos="0" relativeHeight="125829383" behindDoc="0" locked="0" layoutInCell="1" allowOverlap="1">
                <wp:simplePos x="0" y="0"/>
                <wp:positionH relativeFrom="page">
                  <wp:posOffset>733425</wp:posOffset>
                </wp:positionH>
                <wp:positionV relativeFrom="paragraph">
                  <wp:posOffset>558800</wp:posOffset>
                </wp:positionV>
                <wp:extent cx="1896110" cy="252730"/>
                <wp:wrapTopAndBottom/>
                <wp:docPr id="29" name="Shape 29"/>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5" type="#_x0000_t202" style="position:absolute;margin-left:57.75pt;margin-top:44.pt;width:149.30000000000001pt;height:19.900000000000002pt;z-index:-125829370;mso-wrap-distance-left:0;mso-wrap-distance-top:44.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631825" distB="0" distL="0" distR="1789430" simplePos="0" relativeHeight="125829385" behindDoc="0" locked="0" layoutInCell="1" allowOverlap="1">
            <wp:simplePos x="0" y="0"/>
            <wp:positionH relativeFrom="page">
              <wp:posOffset>3104515</wp:posOffset>
            </wp:positionH>
            <wp:positionV relativeFrom="paragraph">
              <wp:posOffset>631825</wp:posOffset>
            </wp:positionV>
            <wp:extent cx="353695" cy="39624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3"/>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3522345</wp:posOffset>
                </wp:positionH>
                <wp:positionV relativeFrom="paragraph">
                  <wp:posOffset>723265</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35000000000002pt;margin-top:56.950000000000003pt;width:135.84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58800" distB="216535" distL="0" distR="0" simplePos="0" relativeHeight="125829386" behindDoc="0" locked="0" layoutInCell="1" allowOverlap="1">
                <wp:simplePos x="0" y="0"/>
                <wp:positionH relativeFrom="page">
                  <wp:posOffset>6182995</wp:posOffset>
                </wp:positionH>
                <wp:positionV relativeFrom="paragraph">
                  <wp:posOffset>558800</wp:posOffset>
                </wp:positionV>
                <wp:extent cx="1029970" cy="252730"/>
                <wp:wrapTopAndBottom/>
                <wp:docPr id="35" name="Shape 35"/>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61" type="#_x0000_t202" style="position:absolute;margin-left:486.85000000000002pt;margin-top:44.pt;width:81.100000000000009pt;height:19.900000000000002pt;z-index:-125829367;mso-wrap-distance-left:0;mso-wrap-distance-top:44.pt;mso-wrap-distance-right:0;mso-wrap-distance-bottom:17.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pPr>
      <w:r>
        <w:rPr>
          <w:color w:val="E9E9E9"/>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color w:val="E9E9E9"/>
          <w:spacing w:val="0"/>
          <w:w w:val="100"/>
          <w:position w:val="0"/>
          <w:shd w:val="clear" w:color="auto" w:fill="auto"/>
          <w:lang w:val="ru-RU" w:eastAsia="ru-RU" w:bidi="ru-RU"/>
        </w:rPr>
        <w:t xml:space="preserve">СЕРТИФИКАТЕ </w:t>
      </w:r>
      <w:r>
        <w:rPr>
          <w:color w:val="FFFFFF"/>
          <w:spacing w:val="0"/>
          <w:w w:val="100"/>
          <w:position w:val="0"/>
          <w:shd w:val="clear" w:color="auto" w:fill="auto"/>
          <w:lang w:val="ru-RU" w:eastAsia="ru-RU" w:bidi="ru-RU"/>
        </w:rPr>
        <w:t>ЭП</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КАЗАРИН СЕРГЕЙ ИГОРЕВИЧ</w:t>
      </w:r>
    </w:p>
    <w:p>
      <w:pPr>
        <w:pStyle w:val="Style2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color w:val="282828"/>
          <w:spacing w:val="0"/>
          <w:w w:val="100"/>
          <w:position w:val="0"/>
          <w:shd w:val="clear" w:color="auto" w:fill="auto"/>
          <w:lang w:val="ru-RU" w:eastAsia="ru-RU" w:bidi="ru-RU"/>
        </w:rPr>
        <w:t xml:space="preserve">000590946031СЕ073ВЕ5С506ЕЕ7501 </w:t>
      </w:r>
      <w:r>
        <w:rPr>
          <w:spacing w:val="0"/>
          <w:w w:val="100"/>
          <w:position w:val="0"/>
          <w:shd w:val="clear" w:color="auto" w:fill="auto"/>
          <w:lang w:val="ru-RU" w:eastAsia="ru-RU" w:bidi="ru-RU"/>
        </w:rPr>
        <w:t>0760</w:t>
      </w:r>
    </w:p>
    <w:p>
      <w:pPr>
        <w:pStyle w:val="Style24"/>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82828"/>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8" behindDoc="0" locked="0" layoutInCell="1" allowOverlap="1">
            <wp:simplePos x="0" y="0"/>
            <wp:positionH relativeFrom="page">
              <wp:posOffset>3093085</wp:posOffset>
            </wp:positionH>
            <wp:positionV relativeFrom="paragraph">
              <wp:posOffset>50800</wp:posOffset>
            </wp:positionV>
            <wp:extent cx="365760" cy="54864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5"/>
                    <a:stretch/>
                  </pic:blipFill>
                  <pic:spPr>
                    <a:xfrm>
                      <a:ext cx="365760" cy="5486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3568700</wp:posOffset>
                </wp:positionH>
                <wp:positionV relativeFrom="paragraph">
                  <wp:posOffset>462280</wp:posOffset>
                </wp:positionV>
                <wp:extent cx="1280160" cy="100330"/>
                <wp:wrapNone/>
                <wp:docPr id="39" name="Shape 3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9E9E9"/>
                                <w:spacing w:val="0"/>
                                <w:w w:val="100"/>
                                <w:position w:val="0"/>
                                <w:shd w:val="clear" w:color="auto" w:fill="auto"/>
                                <w:lang w:val="ru-RU" w:eastAsia="ru-RU" w:bidi="ru-RU"/>
                              </w:rPr>
                              <w:t xml:space="preserve">СВЕДЕНИЯ О СЕРТИФИКАТЕ </w:t>
                            </w:r>
                            <w:r>
                              <w:rPr>
                                <w:rFonts w:ascii="Arial" w:eastAsia="Arial" w:hAnsi="Arial" w:cs="Arial"/>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5" type="#_x0000_t202" style="position:absolute;margin-left:281.pt;margin-top:36.399999999999999pt;width:100.8pt;height:7.90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9E9E9"/>
                          <w:spacing w:val="0"/>
                          <w:w w:val="100"/>
                          <w:position w:val="0"/>
                          <w:shd w:val="clear" w:color="auto" w:fill="auto"/>
                          <w:lang w:val="ru-RU" w:eastAsia="ru-RU" w:bidi="ru-RU"/>
                        </w:rPr>
                        <w:t xml:space="preserve">СВЕДЕНИЯ О СЕРТИФИКАТЕ </w:t>
                      </w:r>
                      <w:r>
                        <w:rPr>
                          <w:rFonts w:ascii="Arial" w:eastAsia="Arial" w:hAnsi="Arial" w:cs="Arial"/>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3522980</wp:posOffset>
                </wp:positionH>
                <wp:positionV relativeFrom="paragraph">
                  <wp:posOffset>151130</wp:posOffset>
                </wp:positionV>
                <wp:extent cx="1725295" cy="255905"/>
                <wp:wrapNone/>
                <wp:docPr id="41" name="Shape 4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40000000000003pt;margin-top:11.9pt;width:135.84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787878"/>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Гугава Эдуард Звиадович</w:t>
      </w:r>
    </w:p>
    <w:p>
      <w:pPr>
        <w:pStyle w:val="Style24"/>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828"/>
          <w:spacing w:val="0"/>
          <w:w w:val="100"/>
          <w:position w:val="0"/>
          <w:shd w:val="clear" w:color="auto" w:fill="auto"/>
          <w:lang w:val="ru-RU" w:eastAsia="ru-RU" w:bidi="ru-RU"/>
        </w:rPr>
        <w:t>008АВСВВ24Э1В04705С4В0130528702ЕАЕ</w:t>
      </w:r>
    </w:p>
    <w:p>
      <w:pPr>
        <w:pStyle w:val="Style24"/>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по </w:t>
      </w:r>
      <w:r>
        <w:rPr>
          <w:color w:val="787878"/>
          <w:spacing w:val="0"/>
          <w:w w:val="100"/>
          <w:position w:val="0"/>
          <w:shd w:val="clear" w:color="auto" w:fill="auto"/>
          <w:lang w:val="ru-RU" w:eastAsia="ru-RU" w:bidi="ru-RU"/>
        </w:rPr>
        <w:t>04.10.2025</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9" behindDoc="0" locked="0" layoutInCell="1" allowOverlap="1">
            <wp:simplePos x="0" y="0"/>
            <wp:positionH relativeFrom="page">
              <wp:posOffset>3071495</wp:posOffset>
            </wp:positionH>
            <wp:positionV relativeFrom="paragraph">
              <wp:posOffset>25400</wp:posOffset>
            </wp:positionV>
            <wp:extent cx="389890" cy="572770"/>
            <wp:wrapSquare wrapText="right"/>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27"/>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3568065</wp:posOffset>
                </wp:positionH>
                <wp:positionV relativeFrom="paragraph">
                  <wp:posOffset>461010</wp:posOffset>
                </wp:positionV>
                <wp:extent cx="1280160" cy="103505"/>
                <wp:wrapNone/>
                <wp:docPr id="45" name="Shape 4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1" type="#_x0000_t202" style="position:absolute;margin-left:280.94999999999999pt;margin-top:36.300000000000004pt;width:100.8pt;height:8.1500000000000004pt;z-index:251657735;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3522345</wp:posOffset>
                </wp:positionH>
                <wp:positionV relativeFrom="paragraph">
                  <wp:posOffset>150495</wp:posOffset>
                </wp:positionV>
                <wp:extent cx="1725295" cy="255905"/>
                <wp:wrapNone/>
                <wp:docPr id="47" name="Shape 4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77.35000000000002pt;margin-top:11.85pt;width:135.84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О.А. Челнова</w:t>
      </w:r>
    </w:p>
    <w:p>
      <w:pPr>
        <w:pStyle w:val="Style24"/>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Челнова Олеся Антоновна</w:t>
      </w:r>
    </w:p>
    <w:p>
      <w:pPr>
        <w:pStyle w:val="Style24"/>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218С2Е7ОЗЕ7Е88445А841АСЕ73Е4Э187</w:t>
      </w:r>
    </w:p>
    <w:p>
      <w:pPr>
        <w:pStyle w:val="Style24"/>
        <w:keepNext w:val="0"/>
        <w:keepLines w:val="0"/>
        <w:widowControl w:val="0"/>
        <w:shd w:val="clear" w:color="auto" w:fill="auto"/>
        <w:bidi w:val="0"/>
        <w:spacing w:before="0" w:after="1980" w:line="240" w:lineRule="auto"/>
        <w:ind w:right="0" w:firstLine="0"/>
        <w:jc w:val="left"/>
      </w:pPr>
      <w:r>
        <w:rPr>
          <w:color w:val="787878"/>
          <w:spacing w:val="0"/>
          <w:w w:val="100"/>
          <w:position w:val="0"/>
          <w:shd w:val="clear" w:color="auto" w:fill="auto"/>
          <w:lang w:val="ru-RU" w:eastAsia="ru-RU" w:bidi="ru-RU"/>
        </w:rPr>
        <w:t xml:space="preserve">Действителен </w:t>
      </w:r>
      <w:r>
        <w:rPr>
          <w:color w:val="282828"/>
          <w:spacing w:val="0"/>
          <w:w w:val="100"/>
          <w:position w:val="0"/>
          <w:shd w:val="clear" w:color="auto" w:fill="auto"/>
          <w:lang w:val="ru-RU" w:eastAsia="ru-RU" w:bidi="ru-RU"/>
        </w:rPr>
        <w:t xml:space="preserve">с </w:t>
      </w:r>
      <w:r>
        <w:rPr>
          <w:color w:val="000000"/>
          <w:spacing w:val="0"/>
          <w:w w:val="100"/>
          <w:position w:val="0"/>
          <w:shd w:val="clear" w:color="auto" w:fill="auto"/>
          <w:lang w:val="ru-RU" w:eastAsia="ru-RU" w:bidi="ru-RU"/>
        </w:rPr>
        <w:t xml:space="preserve">10.04.2024 по </w:t>
      </w:r>
      <w:r>
        <w:rPr>
          <w:color w:val="787878"/>
          <w:spacing w:val="0"/>
          <w:w w:val="100"/>
          <w:position w:val="0"/>
          <w:shd w:val="clear" w:color="auto" w:fill="auto"/>
          <w:lang w:val="ru-RU" w:eastAsia="ru-RU" w:bidi="ru-RU"/>
        </w:rPr>
        <w:t>04.07.2025</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Гугава Эдуард Звиадович 8 (495)784-75-05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724535</wp:posOffset>
              </wp:positionH>
              <wp:positionV relativeFrom="page">
                <wp:posOffset>10147300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2024-46036</w:t>
                          </w:r>
                        </w:p>
                      </w:txbxContent>
                    </wps:txbx>
                    <wps:bodyPr wrap="none" lIns="0" tIns="0" rIns="0" bIns="0">
                      <a:spAutoFit/>
                    </wps:bodyPr>
                  </wps:wsp>
                </a:graphicData>
              </a:graphic>
            </wp:anchor>
          </w:drawing>
        </mc:Choice>
        <mc:Fallback>
          <w:pict>
            <v:shape id="_x0000_s1033" type="#_x0000_t202" style="position:absolute;margin-left:57.050000000000004pt;margin-top:799.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2024-46036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723900</wp:posOffset>
              </wp:positionH>
              <wp:positionV relativeFrom="page">
                <wp:posOffset>10217150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2024-46036</w:t>
                          </w:r>
                        </w:p>
                      </w:txbxContent>
                    </wps:txbx>
                    <wps:bodyPr wrap="none" lIns="0" tIns="0" rIns="0" bIns="0">
                      <a:spAutoFit/>
                    </wps:bodyPr>
                  </wps:wsp>
                </a:graphicData>
              </a:graphic>
            </wp:anchor>
          </w:drawing>
        </mc:Choice>
        <mc:Fallback>
          <w:pict>
            <v:shape id="_x0000_s1035" type="#_x0000_t202" style="position:absolute;margin-left:57.pt;margin-top:804.5pt;width:57.100000000000001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2024-46036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724535</wp:posOffset>
              </wp:positionH>
              <wp:positionV relativeFrom="page">
                <wp:posOffset>10147300</wp:posOffset>
              </wp:positionV>
              <wp:extent cx="725170" cy="100330"/>
              <wp:wrapNone/>
              <wp:docPr id="23" name="Shape 2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2024-46036</w:t>
                          </w:r>
                        </w:p>
                      </w:txbxContent>
                    </wps:txbx>
                    <wps:bodyPr wrap="none" lIns="0" tIns="0" rIns="0" bIns="0">
                      <a:spAutoFit/>
                    </wps:bodyPr>
                  </wps:wsp>
                </a:graphicData>
              </a:graphic>
            </wp:anchor>
          </w:drawing>
        </mc:Choice>
        <mc:Fallback>
          <w:pict>
            <v:shape id="_x0000_s1049" type="#_x0000_t202" style="position:absolute;margin-left:57.050000000000004pt;margin-top:799.pt;width:57.100000000000001pt;height:7.9000000000000004pt;z-index:-1887440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2024-46036</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724535</wp:posOffset>
              </wp:positionH>
              <wp:positionV relativeFrom="page">
                <wp:posOffset>10147300</wp:posOffset>
              </wp:positionV>
              <wp:extent cx="725170" cy="100330"/>
              <wp:wrapNone/>
              <wp:docPr id="27" name="Shape 2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2024-46036</w:t>
                          </w:r>
                        </w:p>
                      </w:txbxContent>
                    </wps:txbx>
                    <wps:bodyPr wrap="none" lIns="0" tIns="0" rIns="0" bIns="0">
                      <a:spAutoFit/>
                    </wps:bodyPr>
                  </wps:wsp>
                </a:graphicData>
              </a:graphic>
            </wp:anchor>
          </w:drawing>
        </mc:Choice>
        <mc:Fallback>
          <w:pict>
            <v:shape id="_x0000_s1053" type="#_x0000_t202" style="position:absolute;margin-left:57.050000000000004pt;margin-top:799.pt;width:57.100000000000001pt;height:7.9000000000000004pt;z-index:-18874404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3932555</wp:posOffset>
              </wp:positionH>
              <wp:positionV relativeFrom="page">
                <wp:posOffset>372745</wp:posOffset>
              </wp:positionV>
              <wp:extent cx="57785" cy="103505"/>
              <wp:wrapNone/>
              <wp:docPr id="3" name="Shape 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65000000000003pt;margin-top:29.350000000000001pt;width:4.5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3900805</wp:posOffset>
              </wp:positionH>
              <wp:positionV relativeFrom="page">
                <wp:posOffset>476250</wp:posOffset>
              </wp:positionV>
              <wp:extent cx="128270" cy="103505"/>
              <wp:wrapNone/>
              <wp:docPr id="5" name="Shape 5"/>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7.15000000000003pt;margin-top:37.5pt;width:10.1pt;height:8.1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3932555</wp:posOffset>
              </wp:positionH>
              <wp:positionV relativeFrom="page">
                <wp:posOffset>372745</wp:posOffset>
              </wp:positionV>
              <wp:extent cx="57785" cy="103505"/>
              <wp:wrapNone/>
              <wp:docPr id="17" name="Shape 17"/>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65000000000003pt;margin-top:29.350000000000001pt;width:4.5499999999999998pt;height:8.1500000000000004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3932555</wp:posOffset>
              </wp:positionH>
              <wp:positionV relativeFrom="page">
                <wp:posOffset>372745</wp:posOffset>
              </wp:positionV>
              <wp:extent cx="57785" cy="103505"/>
              <wp:wrapNone/>
              <wp:docPr id="19" name="Shape 19"/>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9.65000000000003pt;margin-top:29.350000000000001pt;width:4.5499999999999998pt;height:8.15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3900805</wp:posOffset>
              </wp:positionH>
              <wp:positionV relativeFrom="page">
                <wp:posOffset>476250</wp:posOffset>
              </wp:positionV>
              <wp:extent cx="128270" cy="103505"/>
              <wp:wrapNone/>
              <wp:docPr id="21" name="Shape 21"/>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7.15000000000003pt;margin-top:37.5pt;width:10.1pt;height:8.1500000000000004pt;z-index:-1887440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3900805</wp:posOffset>
              </wp:positionH>
              <wp:positionV relativeFrom="page">
                <wp:posOffset>476250</wp:posOffset>
              </wp:positionV>
              <wp:extent cx="128270" cy="103505"/>
              <wp:wrapNone/>
              <wp:docPr id="25" name="Shape 25"/>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7.15000000000003pt;margin-top:37.5pt;width:10.1pt;height:8.1500000000000004pt;z-index:-1887440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5F5F5F"/>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4">
    <w:name w:val="Основной текст (2)"/>
    <w:basedOn w:val="Normal"/>
    <w:link w:val="CharStyle25"/>
    <w:pPr>
      <w:widowControl w:val="0"/>
      <w:shd w:val="clear" w:color="auto" w:fill="auto"/>
      <w:ind w:left="3820"/>
    </w:pPr>
    <w:rPr>
      <w:rFonts w:ascii="Arial" w:eastAsia="Arial" w:hAnsi="Arial" w:cs="Arial"/>
      <w:b w:val="0"/>
      <w:bCs w:val="0"/>
      <w:i w:val="0"/>
      <w:iCs w:val="0"/>
      <w:smallCaps w:val="0"/>
      <w:strike w:val="0"/>
      <w:color w:val="5F5F5F"/>
      <w:sz w:val="12"/>
      <w:szCs w:val="12"/>
      <w:u w:val="none"/>
    </w:rPr>
  </w:style>
  <w:style w:type="paragraph" w:customStyle="1" w:styleId="Style31">
    <w:name w:val="Основной текст (4)"/>
    <w:basedOn w:val="Normal"/>
    <w:link w:val="CharStyle32"/>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image" Target="media/image3.jpeg"/><Relationship Id="rId24" Type="http://schemas.openxmlformats.org/officeDocument/2006/relationships/image" Target="media/image3.jpeg" TargetMode="External"/><Relationship Id="rId25" Type="http://schemas.openxmlformats.org/officeDocument/2006/relationships/image" Target="media/image4.jpeg"/><Relationship Id="rId26" Type="http://schemas.openxmlformats.org/officeDocument/2006/relationships/image" Target="media/image4.jpeg" TargetMode="External"/><Relationship Id="rId27" Type="http://schemas.openxmlformats.org/officeDocument/2006/relationships/image" Target="media/image5.jpeg"/><Relationship Id="rId28" Type="http://schemas.openxmlformats.org/officeDocument/2006/relationships/image" Target="media/image5.jpeg" TargetMode="External"/></Relationships>
</file>