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00" w:line="240" w:lineRule="auto"/>
        <w:ind w:left="0" w:right="0" w:firstLine="0"/>
        <w:jc w:val="center"/>
        <w:rPr>
          <w:sz w:val="72"/>
          <w:szCs w:val="72"/>
        </w:rPr>
      </w:pPr>
      <w:r>
        <w:rPr>
          <w:rFonts w:ascii="Arial" w:eastAsia="Arial" w:hAnsi="Arial" w:cs="Arial"/>
          <w:color w:val="476198"/>
          <w:spacing w:val="0"/>
          <w:w w:val="100"/>
          <w:position w:val="0"/>
          <w:sz w:val="72"/>
          <w:szCs w:val="72"/>
          <w:shd w:val="clear" w:color="auto" w:fill="auto"/>
          <w:lang w:val="ru-RU" w:eastAsia="ru-RU" w:bidi="ru-RU"/>
        </w:rPr>
        <w:t>ф</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76198"/>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rPr>
          <w:sz w:val="19"/>
          <w:szCs w:val="19"/>
        </w:rPr>
      </w:pPr>
      <w:r>
        <w:rPr>
          <w:b/>
          <w:bCs/>
          <w:color w:val="476198"/>
          <w:spacing w:val="0"/>
          <w:w w:val="100"/>
          <w:position w:val="0"/>
          <w:sz w:val="19"/>
          <w:szCs w:val="19"/>
          <w:shd w:val="clear" w:color="auto" w:fill="auto"/>
          <w:lang w:val="ru-RU" w:eastAsia="ru-RU" w:bidi="ru-RU"/>
        </w:rPr>
        <w:t>УПРАВЛЕНИЕ</w:t>
        <w:br/>
        <w:t>Федеральной антимонопольной службы</w:t>
        <w:br/>
        <w:t>по Амурской области</w:t>
      </w:r>
    </w:p>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76198"/>
          <w:spacing w:val="0"/>
          <w:w w:val="100"/>
          <w:position w:val="0"/>
          <w:sz w:val="16"/>
          <w:szCs w:val="16"/>
          <w:shd w:val="clear" w:color="auto" w:fill="auto"/>
          <w:lang w:val="ru-RU" w:eastAsia="ru-RU" w:bidi="ru-RU"/>
        </w:rPr>
        <w:t>ул. Амурская, 150, г. Благовещенск</w:t>
      </w:r>
    </w:p>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76198"/>
          <w:spacing w:val="0"/>
          <w:w w:val="100"/>
          <w:position w:val="0"/>
          <w:sz w:val="16"/>
          <w:szCs w:val="16"/>
          <w:shd w:val="clear" w:color="auto" w:fill="auto"/>
          <w:lang w:val="ru-RU" w:eastAsia="ru-RU" w:bidi="ru-RU"/>
        </w:rPr>
        <w:t>Амурская область, 675000</w:t>
        <w:br/>
        <w:t>тел. (4162) 52-00-07, факс (4162) 52-00-35</w:t>
        <w:br/>
        <w:t>е-таП: 1о28@0а8.§оу.ги</w:t>
      </w:r>
    </w:p>
    <w:p>
      <w:pPr>
        <w:pStyle w:val="Style11"/>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МП/4018/2</w:t>
      </w:r>
      <w:r>
        <w:rPr>
          <w:color w:val="000000"/>
          <w:spacing w:val="0"/>
          <w:w w:val="100"/>
          <w:position w:val="0"/>
          <w:u w:val="none"/>
          <w:shd w:val="clear" w:color="auto" w:fill="auto"/>
          <w:lang w:val="ru-RU" w:eastAsia="ru-RU" w:bidi="ru-RU"/>
        </w:rPr>
        <w:t>4</w:t>
      </w:r>
      <w:bookmarkEnd w:id="0"/>
    </w:p>
    <w:p>
      <w:pPr>
        <w:pStyle w:val="Style2"/>
        <w:keepNext w:val="0"/>
        <w:keepLines w:val="0"/>
        <w:widowControl w:val="0"/>
        <w:shd w:val="clear" w:color="auto" w:fill="auto"/>
        <w:bidi w:val="0"/>
        <w:spacing w:before="0" w:after="620" w:line="264" w:lineRule="auto"/>
        <w:ind w:left="0" w:right="220" w:firstLine="0"/>
        <w:jc w:val="right"/>
        <w:rPr>
          <w:sz w:val="18"/>
          <w:szCs w:val="18"/>
        </w:rPr>
      </w:pPr>
      <w:r>
        <w:rPr>
          <w:color w:val="476198"/>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 028/06/106-764/2024</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«Брокер Групп» оооЛеп4ег.Ъгокег77@дтаП.сот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Федеральное государственное бюджетное учреждение «Управление мелиорации земель и сельскохозяйственного водоснабжения по Амурской области» атVк.котеV@уап^еx.^и;</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284" w:right="804" w:bottom="1236" w:left="1130" w:header="0" w:footer="3" w:gutter="0"/>
          <w:pgNumType w:start="1"/>
          <w:cols w:num="2" w:space="576"/>
          <w:noEndnote/>
          <w:titlePg/>
          <w:rtlGutter w:val="0"/>
          <w:docGrid w:linePitch="360"/>
        </w:sectPr>
      </w:pPr>
      <w:r>
        <w:rPr>
          <w:color w:val="000000"/>
          <w:spacing w:val="0"/>
          <w:w w:val="100"/>
          <w:position w:val="0"/>
          <w:shd w:val="clear" w:color="auto" w:fill="auto"/>
          <w:lang w:val="ru-RU" w:eastAsia="ru-RU" w:bidi="ru-RU"/>
        </w:rPr>
        <w:t>а11и11411е11ОА(х111о/@уапс1е\.1Т1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5" w:right="0" w:bottom="1215" w:left="0" w:header="0" w:footer="3" w:gutter="0"/>
          <w:cols w:space="720"/>
          <w:noEndnote/>
          <w:rtlGutter w:val="0"/>
          <w:docGrid w:linePitch="360"/>
        </w:sectPr>
      </w:pPr>
    </w:p>
    <w:p>
      <w:pPr>
        <w:pStyle w:val="Style15"/>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u-RU" w:eastAsia="ru-RU" w:bidi="ru-RU"/>
        </w:rPr>
        <w:t>РЕШЕНИЕ</w:t>
        <w:br/>
      </w:r>
      <w:r>
        <w:rPr>
          <w:color w:val="000000"/>
          <w:spacing w:val="0"/>
          <w:w w:val="100"/>
          <w:position w:val="0"/>
          <w:shd w:val="clear" w:color="auto" w:fill="auto"/>
          <w:lang w:val="ru-RU" w:eastAsia="ru-RU" w:bidi="ru-RU"/>
        </w:rPr>
        <w:t>по делу № 028/06/106-764/2024</w:t>
      </w:r>
    </w:p>
    <w:p>
      <w:pPr>
        <w:pStyle w:val="Style1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5741035</wp:posOffset>
                </wp:positionH>
                <wp:positionV relativeFrom="paragraph">
                  <wp:posOffset>12700</wp:posOffset>
                </wp:positionV>
                <wp:extent cx="1151890" cy="234950"/>
                <wp:wrapSquare wrapText="left"/>
                <wp:docPr id="5" name="Shape 5"/>
                <a:graphic xmlns:a="http://schemas.openxmlformats.org/drawingml/2006/main">
                  <a:graphicData uri="http://schemas.microsoft.com/office/word/2010/wordprocessingShape">
                    <wps:wsp>
                      <wps:cNvSpPr txBox="1"/>
                      <wps:spPr>
                        <a:xfrm>
                          <a:ext cx="115189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31" type="#_x0000_t202" style="position:absolute;margin-left:452.05000000000001pt;margin-top:1.pt;width:90.700000000000003pt;height:18.5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30.09.2024</w:t>
      </w:r>
    </w:p>
    <w:p>
      <w:pPr>
        <w:pStyle w:val="Style15"/>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(решение в полном объеме изготовлено 03.10.2024)</w:t>
      </w:r>
    </w:p>
    <w:p>
      <w:pPr>
        <w:pStyle w:val="Style15"/>
        <w:keepNext w:val="0"/>
        <w:keepLines w:val="0"/>
        <w:widowControl w:val="0"/>
        <w:shd w:val="clear" w:color="auto" w:fill="auto"/>
        <w:bidi w:val="0"/>
        <w:spacing w:before="0" w:after="0" w:line="240" w:lineRule="auto"/>
        <w:ind w:left="24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председателя комиссии, заместителя руководителя управления - начальника отдела контроля закупок; Стрелковой Е.В. - главного специалиста указанного отдела; Левченко И.И. - ведущего специалиста-эксперта отдела контроля закупок; Бутковской Н.В. - ведущего специалиста-эксперта отдела контроля закупок,</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в присутствии представителей: от Заказчика - Федеральное государственное бюджетное учреждение «Управление мелиорации земель и сельскохозяйственного водоснабжения по Амурской области», (сторонам разъяснены права, порядок рассмотрения дела, сообщено о ведении аудио- и видеозаписи заседания Комиссии Амурского УФАС России),</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в отсутствие представителя заявителя - Общества с ограниченной ответственностью «БРОКЕР ГРУПП» (далее Заявитель), уведомленного о дате и времени рассмотрения дела надлежащим образом,</w:t>
      </w:r>
    </w:p>
    <w:p>
      <w:pPr>
        <w:pStyle w:val="Style15"/>
        <w:keepNext w:val="0"/>
        <w:keepLines w:val="0"/>
        <w:widowControl w:val="0"/>
        <w:shd w:val="clear" w:color="auto" w:fill="auto"/>
        <w:bidi w:val="0"/>
        <w:spacing w:before="0" w:after="340" w:line="240" w:lineRule="auto"/>
        <w:ind w:left="240" w:right="0" w:firstLine="720"/>
        <w:jc w:val="both"/>
      </w:pPr>
      <w:r>
        <w:rPr>
          <w:color w:val="000000"/>
          <w:spacing w:val="0"/>
          <w:w w:val="100"/>
          <w:position w:val="0"/>
          <w:shd w:val="clear" w:color="auto" w:fill="auto"/>
          <w:lang w:val="ru-RU" w:eastAsia="ru-RU" w:bidi="ru-RU"/>
        </w:rPr>
        <w:t>рассмотрела поступившую в Амурское УФАС России жалобу от Общества с ограниченной ответственностью «БРОКЕР ГРУПП» на действия заказчика - Федеральное государственное бюджетное учреждение «Управление мелиорации земель и сельскохозяйственного водоснабжения по Амурской области» при</w:t>
      </w:r>
    </w:p>
    <w:p>
      <w:pPr>
        <w:pStyle w:val="Style23"/>
        <w:keepNext/>
        <w:keepLines/>
        <w:widowControl w:val="0"/>
        <w:shd w:val="clear" w:color="auto" w:fill="auto"/>
        <w:bidi w:val="0"/>
        <w:spacing w:before="0" w:after="0" w:line="240" w:lineRule="auto"/>
        <w:ind w:left="0" w:right="0" w:firstLine="0"/>
        <w:jc w:val="both"/>
        <w:rPr>
          <w:sz w:val="26"/>
          <w:szCs w:val="26"/>
        </w:rPr>
      </w:pPr>
      <w:bookmarkStart w:id="2" w:name="bookmark2"/>
      <w:r>
        <w:rPr>
          <w:color w:val="000000"/>
          <w:spacing w:val="0"/>
          <w:w w:val="100"/>
          <w:position w:val="0"/>
          <w:sz w:val="38"/>
          <w:szCs w:val="38"/>
          <w:shd w:val="clear" w:color="auto" w:fill="auto"/>
          <w:lang w:val="ru-RU" w:eastAsia="ru-RU" w:bidi="ru-RU"/>
        </w:rPr>
        <w:t>||||||||||||||||||||||||</w:t>
      </w:r>
      <w:bookmarkEnd w:id="2"/>
      <w:r>
        <w:rPr>
          <w:color w:val="000000"/>
          <w:spacing w:val="0"/>
          <w:w w:val="100"/>
          <w:position w:val="0"/>
          <w:sz w:val="38"/>
          <w:szCs w:val="38"/>
          <w:shd w:val="clear" w:color="auto" w:fill="auto"/>
          <w:lang w:val="ru-RU" w:eastAsia="ru-RU" w:bidi="ru-RU"/>
        </w:rPr>
        <w:t xml:space="preserve"> </w:t>
      </w:r>
      <w:r>
        <w:rPr>
          <w:rStyle w:val="CharStyle16"/>
        </w:rPr>
        <w:t>осуществлении закупки в форме открытого конкурса в электронной форме на право заключения контракта на Выполнение ремонтно-эксплутационных работ на Гильчинской осушительной системе, Тамбовский муниципальный округ, Амурская область, объявленной извещением от 28.08.2024 №</w:t>
      </w:r>
      <w:r>
        <w:fldChar w:fldCharType="begin"/>
      </w:r>
      <w:r>
        <w:rPr/>
        <w:instrText> HYPERLINK "https://zakupki.gov.ru/epz/order/notice/ok20/view/common-info.html?regNumber=0323100001024000008" </w:instrText>
      </w:r>
      <w:r>
        <w:fldChar w:fldCharType="separate"/>
      </w:r>
      <w:r>
        <w:rPr>
          <w:rStyle w:val="CharStyle16"/>
        </w:rPr>
        <w:t xml:space="preserve"> 0323100001024000008 </w:t>
      </w:r>
      <w:r>
        <w:fldChar w:fldCharType="end"/>
      </w:r>
      <w:r>
        <w:rPr>
          <w:rStyle w:val="CharStyle16"/>
        </w:rPr>
        <w:t>на электронной площадке РТС-тендер, 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 документы извещения о закупке не соответствуют требованиям законодательства.</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Заседание Комиссии Амурского УФАС России осуществлено в дистанционном режиме, посредством плагина «ТгиеС'опГ» в режиме видеоконференцсвязи.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Заказчиком в нарушение действующего законодательства неправомерно установлены дополнительные требования к участникам закупки согласно Постановлению Правительства Российской Федерации № 2571 от 29.12.2021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Постановление), не соответствующие предмету Контракта. Заявитель просит выдать Заказчику предписание об устранении нарушений.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с доводами жалобы не согласился, до рассмотрения дела представил в антимонопольный орган соответствующий письменный отзыв/</w:t>
      </w:r>
    </w:p>
    <w:p>
      <w:pPr>
        <w:pStyle w:val="Style15"/>
        <w:keepNext w:val="0"/>
        <w:keepLines w:val="0"/>
        <w:widowControl w:val="0"/>
        <w:shd w:val="clear" w:color="auto" w:fill="auto"/>
        <w:bidi w:val="0"/>
        <w:spacing w:before="0" w:after="50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исследовав материалы дела, проведя внеплановую проверку закупочной процедуры</w:t>
      </w:r>
    </w:p>
    <w:p>
      <w:pPr>
        <w:pStyle w:val="Style15"/>
        <w:keepNext w:val="0"/>
        <w:keepLines w:val="0"/>
        <w:widowControl w:val="0"/>
        <w:shd w:val="clear" w:color="auto" w:fill="auto"/>
        <w:bidi w:val="0"/>
        <w:spacing w:before="0" w:after="50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28.08.2024 Заказчиком в Единой информационной системе в сфере закупок \у\у\у./акирк1.доу.ги и на электронной площадке АГЗ РТ</w:t>
      </w:r>
      <w:r>
        <w:fldChar w:fldCharType="begin"/>
      </w:r>
      <w:r>
        <w:rPr/>
        <w:instrText> HYPERLINK "http://etp.zakazrf.ru/" </w:instrText>
      </w:r>
      <w:r>
        <w:fldChar w:fldCharType="separate"/>
      </w:r>
      <w:r>
        <w:rPr>
          <w:color w:val="000000"/>
          <w:spacing w:val="0"/>
          <w:w w:val="100"/>
          <w:position w:val="0"/>
          <w:shd w:val="clear" w:color="auto" w:fill="auto"/>
          <w:lang w:val="ru-RU" w:eastAsia="ru-RU" w:bidi="ru-RU"/>
        </w:rPr>
        <w:t xml:space="preserve"> 11ир://е1р./ака/1Т.ги</w:t>
      </w:r>
      <w:r>
        <w:fldChar w:fldCharType="end"/>
      </w:r>
      <w:r>
        <w:rPr>
          <w:color w:val="000000"/>
          <w:spacing w:val="0"/>
          <w:w w:val="100"/>
          <w:position w:val="0"/>
          <w:shd w:val="clear" w:color="auto" w:fill="auto"/>
          <w:lang w:val="ru-RU" w:eastAsia="ru-RU" w:bidi="ru-RU"/>
        </w:rPr>
        <w:t xml:space="preserve"> опубликовано извещение №</w:t>
      </w:r>
      <w:r>
        <w:fldChar w:fldCharType="begin"/>
      </w:r>
      <w:r>
        <w:rPr/>
        <w:instrText> HYPERLINK "https://zakupki.gov.ru/epz/order/notice/ok20/view/common-info.html?regNumber=0323100001024000008" </w:instrText>
      </w:r>
      <w:r>
        <w:fldChar w:fldCharType="separate"/>
      </w:r>
      <w:r>
        <w:rPr>
          <w:color w:val="000000"/>
          <w:spacing w:val="0"/>
          <w:w w:val="100"/>
          <w:position w:val="0"/>
          <w:shd w:val="clear" w:color="auto" w:fill="auto"/>
          <w:lang w:val="ru-RU" w:eastAsia="ru-RU" w:bidi="ru-RU"/>
        </w:rPr>
        <w:t xml:space="preserve"> 0323100001024000008 </w:t>
      </w:r>
      <w:r>
        <w:fldChar w:fldCharType="end"/>
      </w:r>
      <w:r>
        <w:rPr>
          <w:color w:val="000000"/>
          <w:spacing w:val="0"/>
          <w:w w:val="100"/>
          <w:position w:val="0"/>
          <w:shd w:val="clear" w:color="auto" w:fill="auto"/>
          <w:lang w:val="ru-RU" w:eastAsia="ru-RU" w:bidi="ru-RU"/>
        </w:rPr>
        <w:t>о проведении открытого конкурса в электронной форме на право заключения контракта на выполнение ремонтно- эксплутационных работ на Гильчинской осушительной системе, Тамбовский муниципальный округ, Амурская область.</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- 1 943 378,72 рублей.</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- 23.09.2024 09:00 (МСК+6).</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Дата окончания срока рассмотрения и оценки вторых частей заявок - 24.09.2024.</w:t>
      </w:r>
    </w:p>
    <w:p>
      <w:pPr>
        <w:pStyle w:val="Style15"/>
        <w:keepNext w:val="0"/>
        <w:keepLines w:val="0"/>
        <w:widowControl w:val="0"/>
        <w:shd w:val="clear" w:color="auto" w:fill="auto"/>
        <w:bidi w:val="0"/>
        <w:spacing w:before="0" w:after="20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- 24.09.2024.</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 xml:space="preserve">Согласно </w:t>
      </w:r>
      <w:r>
        <w:fldChar w:fldCharType="begin"/>
      </w:r>
      <w:r>
        <w:rPr/>
        <w:instrText> HYPERLINK "https://zakupki.gov.ru/epz/order/notice/ok20/view/protocol/protocol-main-info.html?regNumber=0323100001024000008&amp;protocolId=46301072" </w:instrText>
      </w:r>
      <w:r>
        <w:fldChar w:fldCharType="separate"/>
      </w:r>
      <w:r>
        <w:rPr>
          <w:color w:val="000000"/>
          <w:spacing w:val="0"/>
          <w:w w:val="100"/>
          <w:position w:val="0"/>
          <w:shd w:val="clear" w:color="auto" w:fill="auto"/>
          <w:lang w:val="ru-RU" w:eastAsia="ru-RU" w:bidi="ru-RU"/>
        </w:rPr>
        <w:t>Протокол подведения итогов определения поставщика (подрядчика,</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"https://zakupki.gov.ru/epz/order/notice/ok20/view/protocol/protocol-main-info.html?regNumber=0323100001024000008&amp;protocolId=46301072" </w:instrText>
      </w:r>
      <w:r>
        <w:fldChar w:fldCharType="separate"/>
      </w:r>
      <w:r>
        <w:rPr>
          <w:color w:val="000000"/>
          <w:spacing w:val="0"/>
          <w:w w:val="100"/>
          <w:position w:val="0"/>
          <w:shd w:val="clear" w:color="auto" w:fill="auto"/>
          <w:lang w:val="ru-RU" w:eastAsia="ru-RU" w:bidi="ru-RU"/>
        </w:rPr>
        <w:t>исполнителя) от 23.09.2024 №ИЭОК1</w:t>
      </w:r>
      <w:r>
        <w:fldChar w:fldCharType="end"/>
      </w:r>
      <w:r>
        <w:rPr>
          <w:color w:val="000000"/>
          <w:spacing w:val="0"/>
          <w:w w:val="100"/>
          <w:position w:val="0"/>
          <w:shd w:val="clear" w:color="auto" w:fill="auto"/>
          <w:lang w:val="ru-RU" w:eastAsia="ru-RU" w:bidi="ru-RU"/>
        </w:rPr>
        <w:t>, в соответствии с пунктом 1 части 1 статьи 52 Закона №44-ФЗ электронный конкурс признается несостоявшимся в связи с тем, что по окончании срока подачи заявок подана только одна заявка на участие в закупке.</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 xml:space="preserve">Отношения, направленные на обеспечение государственных и муниципальных нужд в целях повышения эффективности, результативности осуществления закупок </w:t>
      </w:r>
      <w:r>
        <w:rPr>
          <w:color w:val="000000"/>
          <w:spacing w:val="0"/>
          <w:w w:val="100"/>
          <w:position w:val="0"/>
          <w:shd w:val="clear" w:color="auto" w:fill="auto"/>
          <w:lang w:val="ru-RU" w:eastAsia="ru-RU" w:bidi="ru-RU"/>
        </w:rPr>
        <w:t>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r>
        <w:rPr>
          <w:i/>
          <w:iCs/>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В силу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Конкурентными способами определения поставщиков являются, в том числе конкурсы (открытый конкурс в электронной форме, закрытый конкурс, закрытый конкурс в электронной форме (часть 2 статьи 24 Закона о контрактной системе).</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В соответствии с 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 указанием порядка рассмотрения и оценки заявок на участие в конкурсах в соответствии с настоящим Федеральным законом.</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 xml:space="preserve">Частью 1 статьи 32 Закона о контрактной системе предусмотрено, что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w:t>
      </w:r>
      <w:r>
        <w:rPr>
          <w:color w:val="000000"/>
          <w:spacing w:val="0"/>
          <w:w w:val="100"/>
          <w:position w:val="0"/>
          <w:shd w:val="clear" w:color="auto" w:fill="auto"/>
          <w:lang w:val="ru-RU" w:eastAsia="ru-RU" w:bidi="ru-RU"/>
        </w:rPr>
        <w:t>работников определенного уровня квалификации.</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Частью 9 статьи 32 Закона о контрактной системе установлено, что 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В силу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В развитие данной нормы издано Постановление Правительства Российской Федерации от 31.12.2021 № 2604, которым утверждено Положение об оценке заявок на участие в закупке товаров, работ, услуг для обеспечения государственных и муниципальных нужд (далее - Положение № 2604).</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Согласно пункту 24 Положения № 2604,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а) наличие у участников закупки финансовых ресурсов; б) наличие у участников закупки на праве собственности или ином законном основании оборудования и других материальных ресурсов; в) наличие у участников закупки опыта поставки товара, выполнения работы, оказания услуги, связанного с предметом контракта; г) наличие у участников закупки деловой репутации; д) наличие у участников закупки специалистов и иных работников определенного уровня квалификации.</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На основании пункта 25 Положения № 2604 для оценки заявок по показателям оценки, предусмотренным пунктом 24 настоящего Положения, применяются детализирующие показатели.</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 xml:space="preserve">В соответствии с пунктом 28 Положения № 2604 в случае применения показателя оценки, предусмотренного подпунктом "в" пункта 24 настоящего Положения: а)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 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 в) документом, предусмотренным приложением ^ 1 к настоящему Положению: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w:t>
      </w:r>
      <w:r>
        <w:rPr>
          <w:color w:val="000000"/>
          <w:spacing w:val="0"/>
          <w:w w:val="100"/>
          <w:position w:val="0"/>
          <w:shd w:val="clear" w:color="auto" w:fill="auto"/>
          <w:lang w:val="ru-RU" w:eastAsia="ru-RU" w:bidi="ru-RU"/>
        </w:rPr>
        <w:t>поставленного товара, выполненных работ, оказанных услуг, составленные при исполнении такого договора (договоров);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 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 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Предметом рассматриваемой закупки является Выполнение ремонтно- эксплутационных работ на Гильчинской осушительной системе, Тамбовский муниципальный округ, Амурская область,</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Заказчиком выбран следующий объект закупки №</w:t>
      </w:r>
      <w:r>
        <w:fldChar w:fldCharType="begin"/>
      </w:r>
      <w:r>
        <w:rPr/>
        <w:instrText> HYPERLINK "https://zakupki.gov.ru/epz/order/notice/ok20/view/common-info.html?regNumber=0323100001024000008" </w:instrText>
      </w:r>
      <w:r>
        <w:fldChar w:fldCharType="separate"/>
      </w:r>
      <w:r>
        <w:rPr>
          <w:color w:val="000000"/>
          <w:spacing w:val="0"/>
          <w:w w:val="100"/>
          <w:position w:val="0"/>
          <w:shd w:val="clear" w:color="auto" w:fill="auto"/>
          <w:lang w:val="ru-RU" w:eastAsia="ru-RU" w:bidi="ru-RU"/>
        </w:rPr>
        <w:t xml:space="preserve"> 0323100001024000008</w:t>
      </w:r>
      <w:r>
        <w:fldChar w:fldCharType="end"/>
      </w:r>
      <w:r>
        <w:rPr>
          <w:color w:val="000000"/>
          <w:spacing w:val="0"/>
          <w:w w:val="100"/>
          <w:position w:val="0"/>
          <w:shd w:val="clear" w:color="auto" w:fill="auto"/>
          <w:lang w:val="ru-RU" w:eastAsia="ru-RU" w:bidi="ru-RU"/>
        </w:rPr>
        <w:t>: код позиции 42.21.23.000: работы строительные по строительству оросительных систем (каналов), водоводов и водоводных конструкций, водоочистных станций, станций очистки сточных вод и насосных станций.</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В извещении №</w:t>
      </w:r>
      <w:r>
        <w:fldChar w:fldCharType="begin"/>
      </w:r>
      <w:r>
        <w:rPr/>
        <w:instrText> HYPERLINK "https://zakupki.gov.ru/epz/order/notice/ok20/view/common-info.html?regNumber=0323100001024000008" </w:instrText>
      </w:r>
      <w:r>
        <w:fldChar w:fldCharType="separate"/>
      </w:r>
      <w:r>
        <w:rPr>
          <w:color w:val="000000"/>
          <w:spacing w:val="0"/>
          <w:w w:val="100"/>
          <w:position w:val="0"/>
          <w:shd w:val="clear" w:color="auto" w:fill="auto"/>
          <w:lang w:val="ru-RU" w:eastAsia="ru-RU" w:bidi="ru-RU"/>
        </w:rPr>
        <w:t xml:space="preserve"> 0323100001024000008 </w:t>
      </w:r>
      <w:r>
        <w:fldChar w:fldCharType="end"/>
      </w:r>
      <w:r>
        <w:rPr>
          <w:color w:val="000000"/>
          <w:spacing w:val="0"/>
          <w:w w:val="100"/>
          <w:position w:val="0"/>
          <w:shd w:val="clear" w:color="auto" w:fill="auto"/>
          <w:lang w:val="ru-RU" w:eastAsia="ru-RU" w:bidi="ru-RU"/>
        </w:rPr>
        <w:t>заказчиком установлены следующие критерии оценки заявок участников:</w:t>
      </w:r>
    </w:p>
    <w:p>
      <w:pPr>
        <w:pStyle w:val="Style15"/>
        <w:keepNext w:val="0"/>
        <w:keepLines w:val="0"/>
        <w:widowControl w:val="0"/>
        <w:numPr>
          <w:ilvl w:val="0"/>
          <w:numId w:val="1"/>
        </w:numPr>
        <w:shd w:val="clear" w:color="auto" w:fill="auto"/>
        <w:tabs>
          <w:tab w:pos="947" w:val="left"/>
        </w:tabs>
        <w:bidi w:val="0"/>
        <w:spacing w:before="0" w:line="240" w:lineRule="auto"/>
        <w:ind w:left="0" w:right="0" w:firstLine="740"/>
        <w:jc w:val="both"/>
      </w:pPr>
      <w:r>
        <w:rPr>
          <w:color w:val="000000"/>
          <w:spacing w:val="0"/>
          <w:w w:val="100"/>
          <w:position w:val="0"/>
          <w:shd w:val="clear" w:color="auto" w:fill="auto"/>
          <w:lang w:val="ru-RU" w:eastAsia="ru-RU" w:bidi="ru-RU"/>
        </w:rPr>
        <w:t>цена контракта, сумма цен единиц товара, работы, услуги - 60,00 %;</w:t>
      </w:r>
    </w:p>
    <w:p>
      <w:pPr>
        <w:pStyle w:val="Style15"/>
        <w:keepNext w:val="0"/>
        <w:keepLines w:val="0"/>
        <w:widowControl w:val="0"/>
        <w:numPr>
          <w:ilvl w:val="0"/>
          <w:numId w:val="1"/>
        </w:numPr>
        <w:shd w:val="clear" w:color="auto" w:fill="auto"/>
        <w:tabs>
          <w:tab w:pos="927" w:val="left"/>
        </w:tabs>
        <w:bidi w:val="0"/>
        <w:spacing w:before="0" w:line="240" w:lineRule="auto"/>
        <w:ind w:left="0" w:right="0" w:firstLine="74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- 40,00 %.</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Порядок рассмотрения и оценки заявок участников конкурса Заказчиком указан в приложении к извещению №</w:t>
      </w:r>
      <w:r>
        <w:fldChar w:fldCharType="begin"/>
      </w:r>
      <w:r>
        <w:rPr/>
        <w:instrText> HYPERLINK "https://zakupki.gov.ru/epz/order/notice/ok20/view/common-info.html?regNumber=0323100001024000008" </w:instrText>
      </w:r>
      <w:r>
        <w:fldChar w:fldCharType="separate"/>
      </w:r>
      <w:r>
        <w:rPr>
          <w:color w:val="000000"/>
          <w:spacing w:val="0"/>
          <w:w w:val="100"/>
          <w:position w:val="0"/>
          <w:shd w:val="clear" w:color="auto" w:fill="auto"/>
          <w:lang w:val="ru-RU" w:eastAsia="ru-RU" w:bidi="ru-RU"/>
        </w:rPr>
        <w:t>0323100001024000008</w:t>
      </w:r>
      <w:r>
        <w:fldChar w:fldCharType="end"/>
      </w:r>
      <w:r>
        <w:rPr>
          <w:color w:val="000000"/>
          <w:spacing w:val="0"/>
          <w:w w:val="100"/>
          <w:position w:val="0"/>
          <w:shd w:val="clear" w:color="auto" w:fill="auto"/>
          <w:lang w:val="ru-RU" w:eastAsia="ru-RU" w:bidi="ru-RU"/>
        </w:rPr>
        <w:t xml:space="preserve">. Так, Заказчиком установлены следующие требования к документам для оценки показателя - наличие у участников закупки опыта работы, связанного с предметом контракта: «К оценке принимается исключительно исполненные договоры, предусматривающие выполнение работ по строительству, реконструкции объектов капитального строительства,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соответствии с требованиями пункта 1 настоящей графы) (далее - Перечень): - </w:t>
      </w:r>
      <w:r>
        <w:rPr>
          <w:color w:val="000000"/>
          <w:spacing w:val="0"/>
          <w:w w:val="100"/>
          <w:position w:val="0"/>
          <w:shd w:val="clear" w:color="auto" w:fill="auto"/>
          <w:lang w:val="ru-RU" w:eastAsia="ru-RU" w:bidi="ru-RU"/>
        </w:rPr>
        <w:t>исполненные договоры; - акты приемки поставленного товара, выполненных работ, оказанных услуг, составленные при исполнении таких договоров; - копии разрешений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Последний акт, составленный при исполнении договора и предусмотренный Перечнем, должен быть подписан не ранее чем за 5 лет до даты окончания срока подачи заявок.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 ФЗ.».</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Требования к составу и организации работ по поддержанию мелиоративных систем и гидротехнических сооружений в исправном работоспособном состоянии, а также необходимые к проведению мероприятия для предотвращения отрицательного воздействия гидромелиорации на окружающую природную среду и паспортизации мелиоративных систем, регламентируются в том числе, ГОСТ Р 58376-2022, Национальный стандарт Российской Федерации. Мелиоративные системы и гидротехнические сооружения. Эксплуатация. Общие требования", утвержденным и введенным в действие Приказом Росстандарта от 29.12.2022 № 1710-ст, далее - ГОСТ Р 58376-2022.</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Из раздела 1 ГОСТ Р 58376-2022 следует, что Настоящий стандарт распространяется на мелиоративные системы, их составные части, элементы, гидротехнические сооружения (ГТС) организаций мелиоративного комплекса и сельскохозяйственных производителей, независимо от их организационно-правовых форм собственности. Настоящий стандарт устанавливает требования, рекомендуемые для исполнения собственниками и эксплуатирующими организациями мелиоративных систем, их составных частей, элементов и ГТС при вводе в эксплуатацию, эксплуатации, ремонте, реконструкции, техническом перевооружении, консервации объектов мелиоративного комплекса. При эксплуатации мелиоративных систем, их составных частей, элементов и ГТС наряду с настоящим стандартом соблюдают действующие общие правила безопасности, санитарные правила, правила и инструкции по безопасности труда, противопожарной безопасности и промышленной санитарии, а также требования проектов, учитывающие особенности конкретных объектов мелиоративного комплекса и ГТС.</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Пунктом 3.7 ГОСТ Р 58376-2022 установлено, что мелиорация земель - это коренное улучшение земель путем проведения гидротехнических, культуртехнических, химических, противоэрозионных, агролесомелиоративных, агротехнических и других мелиоративных мероприятий и работ с учетом охраны окружающей среды.</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Согласно пункту 3.9 ГОСТ Р 58376-2022 надлежащее (нормативное) техническое состояние мелиоративных объектов: Поддержание параметров устойчивости, надежности мелиоративных систем и гидротехнических сооружений, а также исправность строительных конструкций, сетей и систем инженерно-технического обеспечения в соответствии с требованиями технических регламентов и проектной документации.</w:t>
      </w:r>
    </w:p>
    <w:p>
      <w:pPr>
        <w:pStyle w:val="Style15"/>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 xml:space="preserve">Как следует из пункта 3.11 ГОСТ Р 58376-2022, гидротехнические сооружения - это инженерные сооружения и устройства, обеспечивающие регулирование, подъем, </w:t>
      </w:r>
      <w:r>
        <w:rPr>
          <w:color w:val="000000"/>
          <w:spacing w:val="0"/>
          <w:w w:val="100"/>
          <w:position w:val="0"/>
          <w:shd w:val="clear" w:color="auto" w:fill="auto"/>
          <w:lang w:val="ru-RU" w:eastAsia="ru-RU" w:bidi="ru-RU"/>
        </w:rPr>
        <w:t>подачу, распределение воды потребителям, отвод вод, защиту почв от водной эрозии, противоселевую и противооползневую защиту.</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В соответствии с пунктом 5.4.1 ГОСТ Р 58376-2022, основными задачами эксплуатации осушительных систем являются: ликвидация избыточной увлажненности, создание и постоянное поддержание в корнеобитаемом слое почвы оптимального водно-воздушного режима, необходимого для получения высоких и устойчивых урожаев сельскохозяйственных культур; создание и поддержание на осушенных землях условий для производительного использования сельскохозяйственной техники и транспортных средств; обеспечение безопасной и безаварийной работы; охрана и содержание в исправном (работоспособном) состоянии всех элементов осушительной системы; проведение учета осушенных земель, контроля за мелиоративным состоянием осушенных земель и техническим состоянием осушительных систем и водоприемников; поддержание надежности осушительных систем на уровне, достаточном для выполнения ими заданных функций; улучшение технического состояния и совершенствование осушительных систем.</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Пунктом 5.4.4 ГОСТ Р 58376-2022 определено, что эксплуатацию и ремонт, осушительных систем, их составных частей и элементов (осушительные каналы, сооружения, оградительные валы и дамбы, водоприемники, эксплуатационные дороги и линии связи) осуществляют эксплуатирующая организация и (или) собственник осушительных систем, их составных частей и элементов.</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Согласно пункту 6.4.1 ГОСТ Р 58376-2022 поддержание или восстановление первоначальных эксплуатационных качеств мелиоративной системы в целом, отдельных ее конструктивных элементов и частей осуществляют путем проведения комплекса технических мероприятий по ремонту системы.</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В силу пункта 6.4.4 ГОСТ Р 58376-2022 к капитальным ремонтным работам мелиоративных объектов относят работы по замене и (или) восстановлению строительных конструкций объектов или элементов таких конструкций, за исключением несущих строительных конструкций, замене и (или) восстановлению систем инженерно-технического обеспечения и сетей инженерно-технического обеспечения объектов или их элементов, а также замене отдельных элементов несущих строительных конструкций на аналогичные или другие улучшающие показатели таких конструкций элементы и (или) восстановлению указанных элементов.</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Пунктом 6.4.5 ГОСТ Р 58376-2022 установлено, что к капитальным ремонтным работам линейных объектов относят работы по изменению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данных объектов и при котором не требуется изменение границ полос отвода и (или) охранных зон таких объектов.</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Согласно пункту 6.4.6 ГОСТ Р 58376-2022 к работам по реконструкции мелиоративных объектов относятся работы по изменению параметров объекта, его частей, в том числе по надстройке, перестройке, расширению объекта, а также по замене и (или) восстановлению несущих строительных конструкций объекта, за исключением замены отдельных элементов таких конструкций на аналогичные или другие улучшающие показатели таких конструкций элементы и (или) восстановления указанных элементов.</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Пунктом 6.4.7 ГОСТ Р 58376-2022 определено, что к работам по реконструкции линейных объектов относятся работы по изменению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Приказом Минстроя России от 24.12.2018 ^ 854/пр утвержден свод правил "Мелиоративные системы и сооружения. Правила эксплуатации" (далее - Свод №854/пр).</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В соответствии с пунктом 7.1 Свода №854/пр ремонт мелиоративных объектов состоит в проведении комплекса технических мероприятий по поддержанию или восстановлению первоначальных эксплуатационных качеств мелиоративной системы в целом или ее отдельных элементов. На мелиоративных объектах выполняют следующие виды ремонтов: текущий; капитальный; аварийный.</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Согласно пункту 7.10.1 Свода №854/пр к капитальному ремонту относятся работы, при проведении которых полностью или частично восстанавливаются отдельные сооружения, их конструктивные элементы и части, осуществляется замена их на более прочные и экономичные (приложение А).</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Приложением А Свода №854/пр определен состав работ при текущем и капитальном ремонтах, из которого следует, что в состав работ, помимо прочих, при капитальном ремонте мелиоративных объектов, в частности, на осушительном сооружении входит изменение трассы каналов на отдельных участках. Уменьшение уклонов путем устройства перепадов в местах размыва каналов. Устройство перепадов или быстротоков в устьях каналов, где наблюдается размыв более крупных каналов. Замена креплений в нижней части канала на более долговечные (бетонные плиты, забранные за сваи) или облицовка откосов плитами из пористого бетона. Замена временных сооружений на сооружения из долговечных материалов. Укрепление внутреннего берега (откоса) или увеличение радиуса закругления в случае размыва. Устройство дополнительных пешеходных мостиков и скотопрогонов-водопоев (Таб. А2).</w:t>
      </w:r>
    </w:p>
    <w:p>
      <w:pPr>
        <w:pStyle w:val="Style15"/>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В техническом задании закупки №</w:t>
      </w:r>
      <w:r>
        <w:fldChar w:fldCharType="begin"/>
      </w:r>
      <w:r>
        <w:rPr/>
        <w:instrText> HYPERLINK "https://zakupki.gov.ru/epz/order/notice/ok20/view/common-info.html?regNumber=0323100001024000008" </w:instrText>
      </w:r>
      <w:r>
        <w:fldChar w:fldCharType="separate"/>
      </w:r>
      <w:r>
        <w:rPr>
          <w:color w:val="000000"/>
          <w:spacing w:val="0"/>
          <w:w w:val="100"/>
          <w:position w:val="0"/>
          <w:shd w:val="clear" w:color="auto" w:fill="auto"/>
          <w:lang w:val="ru-RU" w:eastAsia="ru-RU" w:bidi="ru-RU"/>
        </w:rPr>
        <w:t xml:space="preserve">0323100001024000008 </w:t>
      </w:r>
      <w:r>
        <w:fldChar w:fldCharType="end"/>
      </w:r>
      <w:r>
        <w:rPr>
          <w:color w:val="000000"/>
          <w:spacing w:val="0"/>
          <w:w w:val="100"/>
          <w:position w:val="0"/>
          <w:shd w:val="clear" w:color="auto" w:fill="auto"/>
          <w:lang w:val="ru-RU" w:eastAsia="ru-RU" w:bidi="ru-RU"/>
        </w:rPr>
        <w:t>Заказчиком определены виды и объемы выполняемых работ, в числе которых разработка грунта в траншеях экскаватором, устройство из сборного железобетона: труб, разработка грунта вручную в траншеях глубиной до 2 м без креплений с откосами, Устройство основания под трубопроводы: щебеночного, установка для сооружений на оросительных и осушительных каналах: арматуры из отдельных стержней, устройство бетонной подготовки (заполнение пазух труб), Устройство из сборного железобетона: труб, окрасочная изоляция горизонтальной бетонной поверхности: разжиженным битумом в два слоя, устройство из сборного железобетона: стенок, открылок, диафрагм, оголовков с заделкой стыков цементным раствором, оголовки железобетонные, засыпка траншей и котлованов с перемещением грунта, уплотнение грунта пневматическими трамбовками, уплотнение грунта прицепными кулачковыми катками 8 т на первый проход по одному следу, крепление дна и откосов бьефов камнем насухо из каменной наброски, устройство оснований и покрытий из песчано-гравийных или щебеночно</w:t>
        <w:softHyphen/>
        <w:t>песчаных смесей: однослойных.</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Комиссия Амурского УФАС России, руководствуясь вышеперечисленными нормативными правовыми актами, проанализировав предмет закупки №</w:t>
      </w:r>
      <w:r>
        <w:fldChar w:fldCharType="begin"/>
      </w:r>
      <w:r>
        <w:rPr/>
        <w:instrText> HYPERLINK "https://zakupki.gov.ru/epz/order/notice/ok20/view/common-info.html?regNumber=0323100001024000008" </w:instrText>
      </w:r>
      <w:r>
        <w:fldChar w:fldCharType="separate"/>
      </w:r>
      <w:r>
        <w:rPr>
          <w:color w:val="000000"/>
          <w:spacing w:val="0"/>
          <w:w w:val="100"/>
          <w:position w:val="0"/>
          <w:shd w:val="clear" w:color="auto" w:fill="auto"/>
          <w:lang w:val="ru-RU" w:eastAsia="ru-RU" w:bidi="ru-RU"/>
        </w:rPr>
        <w:t>0323100001024000008</w:t>
      </w:r>
      <w:r>
        <w:fldChar w:fldCharType="end"/>
      </w:r>
      <w:r>
        <w:rPr>
          <w:color w:val="000000"/>
          <w:spacing w:val="0"/>
          <w:w w:val="100"/>
          <w:position w:val="0"/>
          <w:shd w:val="clear" w:color="auto" w:fill="auto"/>
          <w:lang w:val="ru-RU" w:eastAsia="ru-RU" w:bidi="ru-RU"/>
        </w:rPr>
        <w:t>, учитывая пояснения Заказчика приходит к выводу, что выполнение ремонтно-эксплутационных работ на Гильчинской осушительной системе, Тамбовский муниципальный округ, Амурская область фактически относится к капитальному ремонту.</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Учитывая вышеизложенное, порядок оценки участников закупки Заказчиком применен в соответствии с требованиями Закона о контрактной системе и Постановления № 2604, сопоставим с предметом рассматриваемой закупки.</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Установленные критерии оценки заявок не препятствуют участию в рассматриваемом конкурсе, не создают преимущества конкретному участнику закупки и не ограничивают конкуренцию, поскольку предусматривают возможность участникам конкурса конкурировать по всем установленным Заказчиками критериям.</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Таким образом, препятствий для подачи заявки на участие в закупке у Заявителя не имелось.</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В соответствии с частью 1 статьи 105 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На основании части 4 статьи 106 Закона о контрактной системе в сфере закупок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Каких-либо доказательств, свидетельствующих о том, что положения извещения об осуществлении открытого конкурса в электронной форме №</w:t>
      </w:r>
      <w:r>
        <w:fldChar w:fldCharType="begin"/>
      </w:r>
      <w:r>
        <w:rPr/>
        <w:instrText> HYPERLINK "https://zakupki.gov.ru/epz/order/notice/ok20/view/common-info.html?regNumber=0323100001024000008" </w:instrText>
      </w:r>
      <w:r>
        <w:fldChar w:fldCharType="separate"/>
      </w:r>
      <w:r>
        <w:rPr>
          <w:color w:val="000000"/>
          <w:spacing w:val="0"/>
          <w:w w:val="100"/>
          <w:position w:val="0"/>
          <w:shd w:val="clear" w:color="auto" w:fill="auto"/>
          <w:lang w:val="ru-RU" w:eastAsia="ru-RU" w:bidi="ru-RU"/>
        </w:rPr>
        <w:t>0323100001024000008</w:t>
      </w:r>
      <w:r>
        <w:fldChar w:fldCharType="end"/>
      </w:r>
      <w:r>
        <w:rPr>
          <w:color w:val="000000"/>
          <w:spacing w:val="0"/>
          <w:w w:val="100"/>
          <w:position w:val="0"/>
          <w:shd w:val="clear" w:color="auto" w:fill="auto"/>
          <w:lang w:val="ru-RU" w:eastAsia="ru-RU" w:bidi="ru-RU"/>
        </w:rPr>
        <w:t xml:space="preserve"> нарушили права и законные интересы общества, привели к нарушению принципов проведения закупок товаров, работ и услуг, а также ограничили количество участников закупки Заявителем не представлено.</w:t>
      </w:r>
    </w:p>
    <w:p>
      <w:pPr>
        <w:pStyle w:val="Style15"/>
        <w:keepNext w:val="0"/>
        <w:keepLines w:val="0"/>
        <w:widowControl w:val="0"/>
        <w:shd w:val="clear" w:color="auto" w:fill="auto"/>
        <w:bidi w:val="0"/>
        <w:spacing w:before="0" w:line="240" w:lineRule="auto"/>
        <w:ind w:left="240" w:right="0" w:firstLine="720"/>
        <w:jc w:val="both"/>
      </w:pPr>
      <w:r>
        <w:rPr>
          <w:color w:val="000000"/>
          <w:spacing w:val="0"/>
          <w:w w:val="100"/>
          <w:position w:val="0"/>
          <w:shd w:val="clear" w:color="auto" w:fill="auto"/>
          <w:lang w:val="ru-RU" w:eastAsia="ru-RU" w:bidi="ru-RU"/>
        </w:rPr>
        <w:t>Учитывая изложенное, на основании имеющихся в деле материалов Комиссия Амурского УФАС России не находит оснований для признания жалобы обоснованной.</w:t>
      </w:r>
    </w:p>
    <w:p>
      <w:pPr>
        <w:pStyle w:val="Style15"/>
        <w:keepNext w:val="0"/>
        <w:keepLines w:val="0"/>
        <w:widowControl w:val="0"/>
        <w:shd w:val="clear" w:color="auto" w:fill="auto"/>
        <w:tabs>
          <w:tab w:pos="5765" w:val="left"/>
        </w:tabs>
        <w:bidi w:val="0"/>
        <w:spacing w:before="0" w:after="0" w:line="240" w:lineRule="auto"/>
        <w:ind w:left="240" w:right="0" w:firstLine="720"/>
        <w:jc w:val="both"/>
      </w:pPr>
      <w:r>
        <w:rPr>
          <w:color w:val="000000"/>
          <w:spacing w:val="0"/>
          <w:w w:val="100"/>
          <w:position w:val="0"/>
          <w:shd w:val="clear" w:color="auto" w:fill="auto"/>
          <w:lang w:val="ru-RU" w:eastAsia="ru-RU" w:bidi="ru-RU"/>
        </w:rPr>
        <w:t>Рассмотрев жалобу ООО «БРОКЕР ГРУПП» на действия Заказчика при осуществлении закупки способом открытого конкурса в электронной форме на право заключения контракта на выполнение ремонтно-эксплутационных работ на Гильчинской осушительной системе, Тамбовский муниципальный округ, Амурская область, объявленной извещением №</w:t>
      </w:r>
      <w:r>
        <w:fldChar w:fldCharType="begin"/>
      </w:r>
      <w:r>
        <w:rPr/>
        <w:instrText> HYPERLINK "https://zakupki.gov.ru/epz/order/notice/ok20/view/common-info.html?regNumber=0323100001024000008" </w:instrText>
      </w:r>
      <w:r>
        <w:fldChar w:fldCharType="separate"/>
      </w:r>
      <w:r>
        <w:rPr>
          <w:color w:val="000000"/>
          <w:spacing w:val="0"/>
          <w:w w:val="100"/>
          <w:position w:val="0"/>
          <w:shd w:val="clear" w:color="auto" w:fill="auto"/>
          <w:lang w:val="ru-RU" w:eastAsia="ru-RU" w:bidi="ru-RU"/>
        </w:rPr>
        <w:tab/>
        <w:t xml:space="preserve">0323100001024000008 </w:t>
      </w:r>
      <w:r>
        <w:fldChar w:fldCharType="end"/>
      </w:r>
      <w:r>
        <w:rPr>
          <w:color w:val="000000"/>
          <w:spacing w:val="0"/>
          <w:w w:val="100"/>
          <w:position w:val="0"/>
          <w:shd w:val="clear" w:color="auto" w:fill="auto"/>
          <w:lang w:val="ru-RU" w:eastAsia="ru-RU" w:bidi="ru-RU"/>
        </w:rPr>
        <w:t>в Единой</w:t>
      </w:r>
    </w:p>
    <w:p>
      <w:pPr>
        <w:pStyle w:val="Style15"/>
        <w:keepNext w:val="0"/>
        <w:keepLines w:val="0"/>
        <w:widowControl w:val="0"/>
        <w:shd w:val="clear" w:color="auto" w:fill="auto"/>
        <w:bidi w:val="0"/>
        <w:spacing w:before="0" w:line="240" w:lineRule="auto"/>
        <w:ind w:left="240" w:right="0" w:firstLine="0"/>
        <w:jc w:val="both"/>
      </w:pPr>
      <w:r>
        <w:rPr>
          <w:color w:val="000000"/>
          <w:spacing w:val="0"/>
          <w:w w:val="100"/>
          <w:position w:val="0"/>
          <w:shd w:val="clear" w:color="auto" w:fill="auto"/>
          <w:lang w:val="ru-RU" w:eastAsia="ru-RU" w:bidi="ru-RU"/>
        </w:rPr>
        <w:t>информационной системе в сфере закупок \у\у\у./акирк1.доу.ги и на электронной площадке АГЗ РТ 11ир://е1р./ака/1Т.ги, руководствуясь пунктом 1 части 3, части 15 статьи 99, части 8 статьи 106 Закона о контрактной системе, Комиссия Амурского</w:t>
      </w:r>
      <w:r>
        <w:br w:type="page"/>
      </w:r>
    </w:p>
    <w:p>
      <w:pPr>
        <w:pStyle w:val="Style15"/>
        <w:keepNext w:val="0"/>
        <w:keepLines w:val="0"/>
        <w:widowControl w:val="0"/>
        <w:shd w:val="clear" w:color="auto" w:fill="auto"/>
        <w:bidi w:val="0"/>
        <w:spacing w:before="0" w:line="240" w:lineRule="auto"/>
        <w:ind w:left="0" w:right="0" w:firstLine="240"/>
        <w:jc w:val="left"/>
      </w:pPr>
      <w:r>
        <w:rPr>
          <w:color w:val="000000"/>
          <w:spacing w:val="0"/>
          <w:w w:val="100"/>
          <w:position w:val="0"/>
          <w:shd w:val="clear" w:color="auto" w:fill="auto"/>
          <w:lang w:val="ru-RU" w:eastAsia="ru-RU" w:bidi="ru-RU"/>
        </w:rPr>
        <w:t>УФАС России приняла</w:t>
      </w:r>
    </w:p>
    <w:p>
      <w:pPr>
        <w:pStyle w:val="Style15"/>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РЕШЕНИЕ:</w:t>
      </w:r>
    </w:p>
    <w:p>
      <w:pPr>
        <w:pStyle w:val="Style15"/>
        <w:keepNext w:val="0"/>
        <w:keepLines w:val="0"/>
        <w:widowControl w:val="0"/>
        <w:shd w:val="clear" w:color="auto" w:fill="auto"/>
        <w:bidi w:val="0"/>
        <w:spacing w:before="0" w:after="500" w:line="240" w:lineRule="auto"/>
        <w:ind w:left="240" w:right="0" w:firstLine="720"/>
        <w:jc w:val="left"/>
      </w:pPr>
      <w:r>
        <w:rPr>
          <w:color w:val="000000"/>
          <w:spacing w:val="0"/>
          <w:w w:val="100"/>
          <w:position w:val="0"/>
          <w:shd w:val="clear" w:color="auto" w:fill="auto"/>
          <w:lang w:val="ru-RU" w:eastAsia="ru-RU" w:bidi="ru-RU"/>
        </w:rPr>
        <w:t>Признать жалобу общества с ограниченной ответственностью «БРОКЕР ГРУПП» необоснованной.</w:t>
      </w:r>
    </w:p>
    <w:p>
      <w:pPr>
        <w:pStyle w:val="Style15"/>
        <w:keepNext w:val="0"/>
        <w:keepLines w:val="0"/>
        <w:widowControl w:val="0"/>
        <w:shd w:val="clear" w:color="auto" w:fill="auto"/>
        <w:bidi w:val="0"/>
        <w:spacing w:before="0" w:after="0" w:line="240" w:lineRule="auto"/>
        <w:ind w:left="240" w:right="0" w:firstLine="720"/>
        <w:jc w:val="left"/>
      </w:pPr>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305" w:right="573" w:bottom="1215" w:left="1108" w:header="0" w:footer="3" w:gutter="0"/>
          <w:cols w:space="720"/>
          <w:noEndnote/>
          <w:rtlGutter w:val="0"/>
          <w:docGrid w:linePitch="360"/>
        </w:sectPr>
      </w:pPr>
      <w:r>
        <mc:AlternateContent>
          <mc:Choice Requires="wps">
            <w:drawing>
              <wp:anchor distT="88900" distB="359410" distL="0" distR="0" simplePos="0" relativeHeight="125829380" behindDoc="0" locked="0" layoutInCell="1" allowOverlap="1">
                <wp:simplePos x="0" y="0"/>
                <wp:positionH relativeFrom="page">
                  <wp:posOffset>737235</wp:posOffset>
                </wp:positionH>
                <wp:positionV relativeFrom="paragraph">
                  <wp:posOffset>88900</wp:posOffset>
                </wp:positionV>
                <wp:extent cx="1828800" cy="250190"/>
                <wp:wrapTopAndBottom/>
                <wp:docPr id="7" name="Shape 7"/>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050000000000004pt;margin-top:7.pt;width:144.pt;height:19.699999999999999pt;z-index:-125829373;mso-wrap-distance-left:0;mso-wrap-distance-top:7.pt;mso-wrap-distance-right:0;mso-wrap-distance-bottom:28.3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161925" distB="0" distL="0" distR="1786255" simplePos="0" relativeHeight="125829382" behindDoc="0" locked="0" layoutInCell="1" allowOverlap="1">
            <wp:simplePos x="0" y="0"/>
            <wp:positionH relativeFrom="page">
              <wp:posOffset>2660650</wp:posOffset>
            </wp:positionH>
            <wp:positionV relativeFrom="paragraph">
              <wp:posOffset>161925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3117850</wp:posOffset>
                </wp:positionH>
                <wp:positionV relativeFrom="paragraph">
                  <wp:posOffset>564515</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5pt;margin-top:44.450000000000003pt;width:101.0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253365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42.15000000000001pt;margin-top:19.949999999999999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41630" distB="137160" distL="0" distR="0" simplePos="0" relativeHeight="125829383" behindDoc="0" locked="0" layoutInCell="1" allowOverlap="1">
                <wp:simplePos x="0" y="0"/>
                <wp:positionH relativeFrom="page">
                  <wp:posOffset>5845810</wp:posOffset>
                </wp:positionH>
                <wp:positionV relativeFrom="paragraph">
                  <wp:posOffset>341630</wp:posOffset>
                </wp:positionV>
                <wp:extent cx="1347470" cy="219710"/>
                <wp:wrapTopAndBottom/>
                <wp:docPr id="15" name="Shape 15"/>
                <a:graphic xmlns:a="http://schemas.openxmlformats.org/drawingml/2006/main">
                  <a:graphicData uri="http://schemas.microsoft.com/office/word/2010/wordprocessingShape">
                    <wps:wsp>
                      <wps:cNvSpPr txBox="1"/>
                      <wps:spPr>
                        <a:xfrm>
                          <a:ext cx="1347470" cy="21971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41" type="#_x0000_t202" style="position:absolute;margin-left:460.30000000000001pt;margin-top:26.900000000000002pt;width:106.10000000000001pt;height:17.300000000000001pt;z-index:-125829370;mso-wrap-distance-left:0;mso-wrap-distance-top:26.900000000000002pt;mso-wrap-distance-right:0;mso-wrap-distance-bottom:10.8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М.М. Парнищева</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Парнищева Марина Михайловна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64646"/>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42424"/>
          <w:spacing w:val="0"/>
          <w:w w:val="100"/>
          <w:position w:val="0"/>
          <w:sz w:val="12"/>
          <w:szCs w:val="12"/>
          <w:shd w:val="clear" w:color="auto" w:fill="auto"/>
          <w:lang w:val="ru-RU" w:eastAsia="ru-RU" w:bidi="ru-RU"/>
        </w:rPr>
        <w:t>78С8СЕА2ВЕ2658А4665639ВЕА268ОВ2С</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242424"/>
          <w:spacing w:val="0"/>
          <w:w w:val="100"/>
          <w:position w:val="0"/>
          <w:sz w:val="12"/>
          <w:szCs w:val="12"/>
          <w:shd w:val="clear" w:color="auto" w:fill="auto"/>
          <w:lang w:val="ru-RU" w:eastAsia="ru-RU" w:bidi="ru-RU"/>
        </w:rPr>
        <w:t xml:space="preserve">с 12.08.2024 </w:t>
      </w:r>
      <w:r>
        <w:rPr>
          <w:rFonts w:ascii="Arial" w:eastAsia="Arial" w:hAnsi="Arial" w:cs="Arial"/>
          <w:color w:val="8D8D8D"/>
          <w:spacing w:val="0"/>
          <w:w w:val="100"/>
          <w:position w:val="0"/>
          <w:sz w:val="12"/>
          <w:szCs w:val="12"/>
          <w:shd w:val="clear" w:color="auto" w:fill="auto"/>
          <w:lang w:val="ru-RU" w:eastAsia="ru-RU" w:bidi="ru-RU"/>
        </w:rPr>
        <w:t xml:space="preserve">по </w:t>
      </w:r>
      <w:r>
        <w:rPr>
          <w:rFonts w:ascii="Arial" w:eastAsia="Arial" w:hAnsi="Arial" w:cs="Arial"/>
          <w:color w:val="464646"/>
          <w:spacing w:val="0"/>
          <w:w w:val="100"/>
          <w:position w:val="0"/>
          <w:sz w:val="12"/>
          <w:szCs w:val="12"/>
          <w:shd w:val="clear" w:color="auto" w:fill="auto"/>
          <w:lang w:val="ru-RU" w:eastAsia="ru-RU" w:bidi="ru-RU"/>
        </w:rPr>
        <w:t>05.11.2025</w:t>
      </w:r>
    </w:p>
    <w:p>
      <w:pPr>
        <w:pStyle w:val="Style15"/>
        <w:keepNext w:val="0"/>
        <w:keepLines w:val="0"/>
        <w:widowControl w:val="0"/>
        <w:shd w:val="clear" w:color="auto" w:fill="auto"/>
        <w:bidi w:val="0"/>
        <w:spacing w:before="0" w:line="240" w:lineRule="auto"/>
        <w:ind w:left="0" w:right="0" w:firstLine="0"/>
        <w:jc w:val="left"/>
        <w:rPr>
          <w:sz w:val="28"/>
          <w:szCs w:val="28"/>
        </w:rPr>
      </w:pPr>
      <w:r>
        <w:drawing>
          <wp:anchor distT="0" distB="0" distL="114300" distR="1921510" simplePos="0" relativeHeight="125829385" behindDoc="0" locked="0" layoutInCell="1" allowOverlap="1">
            <wp:simplePos x="0" y="0"/>
            <wp:positionH relativeFrom="page">
              <wp:posOffset>2767330</wp:posOffset>
            </wp:positionH>
            <wp:positionV relativeFrom="paragraph">
              <wp:posOffset>241300</wp:posOffset>
            </wp:positionV>
            <wp:extent cx="311150" cy="35941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11150" cy="3594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3160395</wp:posOffset>
                </wp:positionH>
                <wp:positionV relativeFrom="paragraph">
                  <wp:posOffset>311150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8.84999999999999pt;margin-top:24.5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Члены комиссии:</w:t>
      </w:r>
    </w:p>
    <w:p>
      <w:pPr>
        <w:pStyle w:val="Style15"/>
        <w:keepNext w:val="0"/>
        <w:keepLines w:val="0"/>
        <w:widowControl w:val="0"/>
        <w:shd w:val="clear" w:color="auto" w:fill="auto"/>
        <w:bidi w:val="0"/>
        <w:spacing w:before="0" w:after="21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Н.В. Бутковская</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2"/>
          <w:szCs w:val="12"/>
        </w:rPr>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2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Бутковская Надежда Васильевна</w:t>
      </w:r>
    </w:p>
    <w:p>
      <w:pPr>
        <w:pStyle w:val="Style2"/>
        <w:keepNext w:val="0"/>
        <w:keepLines w:val="0"/>
        <w:widowControl w:val="0"/>
        <w:shd w:val="clear" w:color="auto" w:fill="auto"/>
        <w:bidi w:val="0"/>
        <w:spacing w:before="0" w:after="0" w:line="240" w:lineRule="auto"/>
        <w:ind w:left="3200" w:right="0" w:firstLine="0"/>
        <w:jc w:val="left"/>
        <w:rPr>
          <w:sz w:val="12"/>
          <w:szCs w:val="12"/>
        </w:rPr>
      </w:pPr>
      <w:r>
        <w:rPr>
          <w:rFonts w:ascii="Arial" w:eastAsia="Arial" w:hAnsi="Arial" w:cs="Arial"/>
          <w:color w:val="464646"/>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42424"/>
          <w:spacing w:val="0"/>
          <w:w w:val="100"/>
          <w:position w:val="0"/>
          <w:sz w:val="12"/>
          <w:szCs w:val="12"/>
          <w:shd w:val="clear" w:color="auto" w:fill="auto"/>
          <w:lang w:val="ru-RU" w:eastAsia="ru-RU" w:bidi="ru-RU"/>
        </w:rPr>
        <w:t>00ЕААЕС3840О277ОЕ84050АЕ8СЗАЕ355Е</w:t>
      </w:r>
      <w:r>
        <w:rPr>
          <w:rFonts w:ascii="Arial" w:eastAsia="Arial" w:hAnsi="Arial" w:cs="Arial"/>
          <w:color w:val="242424"/>
          <w:spacing w:val="0"/>
          <w:w w:val="100"/>
          <w:position w:val="0"/>
          <w:sz w:val="12"/>
          <w:szCs w:val="12"/>
          <w:shd w:val="clear" w:color="auto" w:fill="auto"/>
          <w:lang w:val="ru-RU" w:eastAsia="ru-RU" w:bidi="ru-RU"/>
        </w:rPr>
        <w:t>С</w:t>
      </w:r>
    </w:p>
    <w:p>
      <w:pPr>
        <w:pStyle w:val="Style2"/>
        <w:keepNext w:val="0"/>
        <w:keepLines w:val="0"/>
        <w:widowControl w:val="0"/>
        <w:shd w:val="clear" w:color="auto" w:fill="auto"/>
        <w:bidi w:val="0"/>
        <w:spacing w:before="0" w:after="120" w:line="240" w:lineRule="auto"/>
        <w:ind w:left="32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242424"/>
          <w:spacing w:val="0"/>
          <w:w w:val="100"/>
          <w:position w:val="0"/>
          <w:sz w:val="12"/>
          <w:szCs w:val="12"/>
          <w:shd w:val="clear" w:color="auto" w:fill="auto"/>
          <w:lang w:val="ru-RU" w:eastAsia="ru-RU" w:bidi="ru-RU"/>
        </w:rPr>
        <w:t xml:space="preserve">03.06.2024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464646"/>
          <w:spacing w:val="0"/>
          <w:w w:val="100"/>
          <w:position w:val="0"/>
          <w:sz w:val="12"/>
          <w:szCs w:val="12"/>
          <w:shd w:val="clear" w:color="auto" w:fill="auto"/>
          <w:lang w:val="ru-RU" w:eastAsia="ru-RU" w:bidi="ru-RU"/>
        </w:rPr>
        <w:t>27.08.2025</w:t>
      </w:r>
    </w:p>
    <w:p>
      <w:pPr>
        <w:pStyle w:val="Style15"/>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3730" simplePos="0" relativeHeight="125829386" behindDoc="0" locked="0" layoutInCell="1" allowOverlap="1">
            <wp:simplePos x="0" y="0"/>
            <wp:positionH relativeFrom="page">
              <wp:posOffset>2745740</wp:posOffset>
            </wp:positionH>
            <wp:positionV relativeFrom="paragraph">
              <wp:posOffset>76200</wp:posOffset>
            </wp:positionV>
            <wp:extent cx="353695" cy="53022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022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3206115</wp:posOffset>
                </wp:positionH>
                <wp:positionV relativeFrom="paragraph">
                  <wp:posOffset>472440</wp:posOffset>
                </wp:positionV>
                <wp:extent cx="1276985" cy="100330"/>
                <wp:wrapNone/>
                <wp:docPr id="23" name="Shape 23"/>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 xml:space="preserve">СВЕДЕНИЯ </w:t>
                            </w:r>
                            <w:r>
                              <w:rPr>
                                <w:color w:val="E6E6E6"/>
                                <w:spacing w:val="0"/>
                                <w:w w:val="100"/>
                                <w:position w:val="0"/>
                                <w:sz w:val="12"/>
                                <w:szCs w:val="12"/>
                                <w:shd w:val="clear" w:color="auto" w:fill="auto"/>
                                <w:lang w:val="ru-RU" w:eastAsia="ru-RU" w:bidi="ru-RU"/>
                              </w:rPr>
                              <w:t>О СЕРТИФИКАТЕ ЭП</w:t>
                            </w:r>
                          </w:p>
                        </w:txbxContent>
                      </wps:txbx>
                      <wps:bodyPr lIns="0" tIns="0" rIns="0" bIns="0">
                        <a:noAutoFit/>
                      </wps:bodyPr>
                    </wps:wsp>
                  </a:graphicData>
                </a:graphic>
              </wp:anchor>
            </w:drawing>
          </mc:Choice>
          <mc:Fallback>
            <w:pict>
              <v:shape id="_x0000_s1049" type="#_x0000_t202" style="position:absolute;margin-left:252.45000000000002pt;margin-top:37.200000000000003pt;width:100.55pt;height:7.9000000000000004pt;z-index:251657735;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 xml:space="preserve">СВЕДЕНИЯ </w:t>
                      </w:r>
                      <w:r>
                        <w:rPr>
                          <w:color w:val="E6E6E6"/>
                          <w:spacing w:val="0"/>
                          <w:w w:val="100"/>
                          <w:position w:val="0"/>
                          <w:sz w:val="12"/>
                          <w:szCs w:val="12"/>
                          <w:shd w:val="clear" w:color="auto" w:fill="auto"/>
                          <w:lang w:val="ru-RU" w:eastAsia="ru-RU" w:bidi="ru-RU"/>
                        </w:rPr>
                        <w:t>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3160395</wp:posOffset>
                </wp:positionH>
                <wp:positionV relativeFrom="paragraph">
                  <wp:posOffset>158750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8.84999999999999pt;margin-top:12.5pt;width:135.84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Е.В. Стрелкова</w:t>
      </w:r>
    </w:p>
    <w:p>
      <w:pPr>
        <w:pStyle w:val="Style2"/>
        <w:keepNext w:val="0"/>
        <w:keepLines w:val="0"/>
        <w:widowControl w:val="0"/>
        <w:shd w:val="clear" w:color="auto" w:fill="auto"/>
        <w:bidi w:val="0"/>
        <w:spacing w:before="0" w:after="0" w:line="266" w:lineRule="auto"/>
        <w:ind w:left="3200" w:right="0" w:firstLine="4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 xml:space="preserve">Стрелкова Елизавета Викторовна </w:t>
      </w:r>
      <w:r>
        <w:rPr>
          <w:rFonts w:ascii="Arial" w:eastAsia="Arial" w:hAnsi="Arial" w:cs="Arial"/>
          <w:color w:val="464646"/>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64646"/>
          <w:spacing w:val="0"/>
          <w:w w:val="100"/>
          <w:position w:val="0"/>
          <w:sz w:val="12"/>
          <w:szCs w:val="12"/>
          <w:shd w:val="clear" w:color="auto" w:fill="auto"/>
          <w:lang w:val="ru-RU" w:eastAsia="ru-RU" w:bidi="ru-RU"/>
        </w:rPr>
        <w:t>5ЕС860Е482А17Е0С86Е8СС6991</w:t>
      </w:r>
      <w:r>
        <w:rPr>
          <w:rFonts w:ascii="Arial" w:eastAsia="Arial" w:hAnsi="Arial" w:cs="Arial"/>
          <w:color w:val="000000"/>
          <w:spacing w:val="0"/>
          <w:w w:val="100"/>
          <w:position w:val="0"/>
          <w:sz w:val="12"/>
          <w:szCs w:val="12"/>
          <w:shd w:val="clear" w:color="auto" w:fill="auto"/>
          <w:lang w:val="ru-RU" w:eastAsia="ru-RU" w:bidi="ru-RU"/>
        </w:rPr>
        <w:t>СЗА2Е1</w:t>
      </w:r>
    </w:p>
    <w:p>
      <w:pPr>
        <w:pStyle w:val="Style2"/>
        <w:keepNext w:val="0"/>
        <w:keepLines w:val="0"/>
        <w:widowControl w:val="0"/>
        <w:shd w:val="clear" w:color="auto" w:fill="auto"/>
        <w:bidi w:val="0"/>
        <w:spacing w:before="0" w:after="220" w:line="266" w:lineRule="auto"/>
        <w:ind w:left="3200" w:right="0" w:firstLine="40"/>
        <w:jc w:val="left"/>
        <w:rPr>
          <w:sz w:val="12"/>
          <w:szCs w:val="12"/>
        </w:rPr>
      </w:pPr>
      <w:r>
        <mc:AlternateContent>
          <mc:Choice Requires="wps">
            <w:drawing>
              <wp:anchor distT="0" distB="0" distL="114300" distR="114300" simplePos="0" relativeHeight="125829387" behindDoc="0" locked="0" layoutInCell="1" allowOverlap="1">
                <wp:simplePos x="0" y="0"/>
                <wp:positionH relativeFrom="page">
                  <wp:posOffset>6061710</wp:posOffset>
                </wp:positionH>
                <wp:positionV relativeFrom="paragraph">
                  <wp:posOffset>63500</wp:posOffset>
                </wp:positionV>
                <wp:extent cx="1124585" cy="250190"/>
                <wp:wrapSquare wrapText="left"/>
                <wp:docPr id="27" name="Shape 27"/>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Левченко</w:t>
                            </w:r>
                          </w:p>
                        </w:txbxContent>
                      </wps:txbx>
                      <wps:bodyPr wrap="none" lIns="0" tIns="0" rIns="0" bIns="0">
                        <a:noAutoFit/>
                      </wps:bodyPr>
                    </wps:wsp>
                  </a:graphicData>
                </a:graphic>
              </wp:anchor>
            </w:drawing>
          </mc:Choice>
          <mc:Fallback>
            <w:pict>
              <v:shape id="_x0000_s1053" type="#_x0000_t202" style="position:absolute;margin-left:477.30000000000001pt;margin-top:5.pt;width:88.549999999999997pt;height:19.699999999999999pt;z-index:-125829366;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Левченко</w:t>
                      </w:r>
                    </w:p>
                  </w:txbxContent>
                </v:textbox>
                <w10:wrap type="square" side="left" anchorx="page"/>
              </v:shape>
            </w:pict>
          </mc:Fallback>
        </mc:AlternateContent>
      </w: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464646"/>
          <w:spacing w:val="0"/>
          <w:w w:val="100"/>
          <w:position w:val="0"/>
          <w:sz w:val="12"/>
          <w:szCs w:val="12"/>
          <w:shd w:val="clear" w:color="auto" w:fill="auto"/>
          <w:lang w:val="ru-RU" w:eastAsia="ru-RU" w:bidi="ru-RU"/>
        </w:rPr>
        <w:t xml:space="preserve">с </w:t>
      </w:r>
      <w:r>
        <w:rPr>
          <w:rFonts w:ascii="Arial" w:eastAsia="Arial" w:hAnsi="Arial" w:cs="Arial"/>
          <w:color w:val="6B6B6B"/>
          <w:spacing w:val="0"/>
          <w:w w:val="100"/>
          <w:position w:val="0"/>
          <w:sz w:val="12"/>
          <w:szCs w:val="12"/>
          <w:shd w:val="clear" w:color="auto" w:fill="auto"/>
          <w:lang w:val="ru-RU" w:eastAsia="ru-RU" w:bidi="ru-RU"/>
        </w:rPr>
        <w:t xml:space="preserve">04.10.2023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6B6B6B"/>
          <w:spacing w:val="0"/>
          <w:w w:val="100"/>
          <w:position w:val="0"/>
          <w:sz w:val="12"/>
          <w:szCs w:val="12"/>
          <w:shd w:val="clear" w:color="auto" w:fill="auto"/>
          <w:lang w:val="ru-RU" w:eastAsia="ru-RU" w:bidi="ru-RU"/>
        </w:rPr>
        <w:t>27.12.2024</w:t>
      </w:r>
    </w:p>
    <w:p>
      <w:pPr>
        <w:framePr w:w="552" w:h="845" w:hSpace="2818" w:wrap="notBeside" w:vAnchor="text" w:hAnchor="text" w:x="3425" w:y="1"/>
        <w:widowControl w:val="0"/>
        <w:rPr>
          <w:sz w:val="2"/>
          <w:szCs w:val="2"/>
        </w:rPr>
      </w:pPr>
      <w:r>
        <w:drawing>
          <wp:inline>
            <wp:extent cx="353695" cy="536575"/>
            <wp:docPr id="29" name="Picutre 29"/>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3"/>
                    <a:stretch/>
                  </pic:blipFill>
                  <pic:spPr>
                    <a:xfrm>
                      <a:ext cx="353695" cy="536575"/>
                    </a:xfrm>
                    <a:prstGeom prst="rect"/>
                  </pic:spPr>
                </pic:pic>
              </a:graphicData>
            </a:graphic>
          </wp:inline>
        </w:drawing>
      </w:r>
    </w:p>
    <w:p>
      <w:pPr>
        <w:widowControl w:val="0"/>
        <w:spacing w:line="1" w:lineRule="exact"/>
      </w:pPr>
      <w:r>
        <mc:AlternateContent>
          <mc:Choice Requires="wps">
            <w:drawing>
              <wp:anchor distT="0" distB="0" distL="2174240" distR="3037840" simplePos="0" relativeHeight="125829389" behindDoc="0" locked="0" layoutInCell="1" allowOverlap="1">
                <wp:simplePos x="0" y="0"/>
                <wp:positionH relativeFrom="column">
                  <wp:posOffset>2634615</wp:posOffset>
                </wp:positionH>
                <wp:positionV relativeFrom="paragraph">
                  <wp:posOffset>402590</wp:posOffset>
                </wp:positionV>
                <wp:extent cx="1276985" cy="103505"/>
                <wp:wrapTopAndBottom/>
                <wp:docPr id="30" name="Shape 30"/>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07.45000000000002pt;margin-top:31.699999999999999pt;width:100.55pt;height:8.1500000000000004pt;z-index:-125829364;mso-wrap-distance-left:171.20000000000002pt;mso-wrap-distance-right:239.20000000000002pt"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v:textbox>
                <w10:wrap type="topAndBottom"/>
              </v:shape>
            </w:pict>
          </mc:Fallback>
        </mc:AlternateContent>
      </w:r>
      <w:r>
        <mc:AlternateContent>
          <mc:Choice Requires="wps">
            <w:drawing>
              <wp:anchor distT="0" distB="0" distL="2174240" distR="2589530" simplePos="0" relativeHeight="125829391" behindDoc="0" locked="0" layoutInCell="1" allowOverlap="1">
                <wp:simplePos x="0" y="0"/>
                <wp:positionH relativeFrom="column">
                  <wp:posOffset>2588895</wp:posOffset>
                </wp:positionH>
                <wp:positionV relativeFrom="paragraph">
                  <wp:posOffset>91440</wp:posOffset>
                </wp:positionV>
                <wp:extent cx="1725295" cy="255905"/>
                <wp:wrapTopAndBottom/>
                <wp:docPr id="32" name="Shape 3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03.84999999999999pt;margin-top:7.2000000000000002pt;width:135.84999999999999pt;height:20.150000000000002pt;z-index:-125829362;mso-wrap-distance-left:171.20000000000002pt;mso-wrap-distance-right:203.90000000000001pt"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2"/>
        <w:keepNext w:val="0"/>
        <w:keepLines w:val="0"/>
        <w:widowControl w:val="0"/>
        <w:shd w:val="clear" w:color="auto" w:fill="auto"/>
        <w:bidi w:val="0"/>
        <w:spacing w:before="0" w:after="0" w:line="240" w:lineRule="auto"/>
        <w:ind w:left="3200" w:right="0" w:firstLine="4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B6B6B"/>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Левченко Иван Игоревич</w:t>
      </w:r>
    </w:p>
    <w:p>
      <w:pPr>
        <w:pStyle w:val="Style2"/>
        <w:keepNext w:val="0"/>
        <w:keepLines w:val="0"/>
        <w:widowControl w:val="0"/>
        <w:shd w:val="clear" w:color="auto" w:fill="auto"/>
        <w:bidi w:val="0"/>
        <w:spacing w:before="0" w:after="0" w:line="240" w:lineRule="auto"/>
        <w:ind w:left="3200" w:right="0" w:firstLine="0"/>
        <w:jc w:val="left"/>
        <w:rPr>
          <w:sz w:val="12"/>
          <w:szCs w:val="12"/>
        </w:rPr>
      </w:pPr>
      <w:r>
        <w:rPr>
          <w:rFonts w:ascii="Arial" w:eastAsia="Arial" w:hAnsi="Arial" w:cs="Arial"/>
          <w:color w:val="242424"/>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42424"/>
          <w:spacing w:val="0"/>
          <w:w w:val="100"/>
          <w:position w:val="0"/>
          <w:sz w:val="12"/>
          <w:szCs w:val="12"/>
          <w:shd w:val="clear" w:color="auto" w:fill="auto"/>
          <w:lang w:val="ru-RU" w:eastAsia="ru-RU" w:bidi="ru-RU"/>
        </w:rPr>
        <w:t>5Е62СА182Е136О74ОЭСО8641С89В8Е7Е</w:t>
      </w:r>
    </w:p>
    <w:p>
      <w:pPr>
        <w:pStyle w:val="Style2"/>
        <w:keepNext w:val="0"/>
        <w:keepLines w:val="0"/>
        <w:widowControl w:val="0"/>
        <w:shd w:val="clear" w:color="auto" w:fill="auto"/>
        <w:bidi w:val="0"/>
        <w:spacing w:before="0" w:after="4120" w:line="240" w:lineRule="auto"/>
        <w:ind w:left="3200" w:right="0" w:firstLine="0"/>
        <w:jc w:val="left"/>
        <w:rPr>
          <w:sz w:val="12"/>
          <w:szCs w:val="12"/>
        </w:rPr>
      </w:pPr>
      <w:r>
        <w:rPr>
          <w:rFonts w:ascii="Arial" w:eastAsia="Arial" w:hAnsi="Arial" w:cs="Arial"/>
          <w:color w:val="6B6B6B"/>
          <w:spacing w:val="0"/>
          <w:w w:val="100"/>
          <w:position w:val="0"/>
          <w:sz w:val="12"/>
          <w:szCs w:val="12"/>
          <w:shd w:val="clear" w:color="auto" w:fill="auto"/>
          <w:lang w:val="ru-RU" w:eastAsia="ru-RU" w:bidi="ru-RU"/>
        </w:rPr>
        <w:t xml:space="preserve">Действителен </w:t>
      </w:r>
      <w:r>
        <w:rPr>
          <w:rFonts w:ascii="Arial" w:eastAsia="Arial" w:hAnsi="Arial" w:cs="Arial"/>
          <w:color w:val="000000"/>
          <w:spacing w:val="0"/>
          <w:w w:val="100"/>
          <w:position w:val="0"/>
          <w:sz w:val="12"/>
          <w:szCs w:val="12"/>
          <w:shd w:val="clear" w:color="auto" w:fill="auto"/>
          <w:lang w:val="ru-RU" w:eastAsia="ru-RU" w:bidi="ru-RU"/>
        </w:rPr>
        <w:t xml:space="preserve">с </w:t>
      </w:r>
      <w:r>
        <w:rPr>
          <w:rFonts w:ascii="Arial" w:eastAsia="Arial" w:hAnsi="Arial" w:cs="Arial"/>
          <w:color w:val="242424"/>
          <w:spacing w:val="0"/>
          <w:w w:val="100"/>
          <w:position w:val="0"/>
          <w:sz w:val="12"/>
          <w:szCs w:val="12"/>
          <w:shd w:val="clear" w:color="auto" w:fill="auto"/>
          <w:lang w:val="ru-RU" w:eastAsia="ru-RU" w:bidi="ru-RU"/>
        </w:rPr>
        <w:t xml:space="preserve">07.06.2024 </w:t>
      </w:r>
      <w:r>
        <w:rPr>
          <w:rFonts w:ascii="Arial" w:eastAsia="Arial" w:hAnsi="Arial" w:cs="Arial"/>
          <w:color w:val="6B6B6B"/>
          <w:spacing w:val="0"/>
          <w:w w:val="100"/>
          <w:position w:val="0"/>
          <w:sz w:val="12"/>
          <w:szCs w:val="12"/>
          <w:shd w:val="clear" w:color="auto" w:fill="auto"/>
          <w:lang w:val="ru-RU" w:eastAsia="ru-RU" w:bidi="ru-RU"/>
        </w:rPr>
        <w:t>по 31.08.2025</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Исп.Бутковская Н.В.</w:t>
      </w:r>
    </w:p>
    <w:p>
      <w:pPr>
        <w:pStyle w:val="Style2"/>
        <w:keepNext w:val="0"/>
        <w:keepLines w:val="0"/>
        <w:widowControl w:val="0"/>
        <w:shd w:val="clear" w:color="auto" w:fill="auto"/>
        <w:bidi w:val="0"/>
        <w:spacing w:before="0" w:after="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тел.8(4162)37-21-73; вн. 028-217</w:t>
      </w:r>
    </w:p>
    <w:sectPr>
      <w:footnotePr>
        <w:pos w:val="pageBottom"/>
        <w:numFmt w:val="decimal"/>
        <w:numRestart w:val="continuous"/>
      </w:footnotePr>
      <w:type w:val="continuous"/>
      <w:pgSz w:w="11900" w:h="16840"/>
      <w:pgMar w:top="1110" w:right="574"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712470</wp:posOffset>
              </wp:positionH>
              <wp:positionV relativeFrom="page">
                <wp:posOffset>10029825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2024-4747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100000000000001pt;margin-top:789.7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2024-4747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2024-4747</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42424"/>
      <w:sz w:val="11"/>
      <w:szCs w:val="11"/>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8"/>
      <w:szCs w:val="38"/>
      <w:u w:val="none"/>
    </w:rPr>
  </w:style>
  <w:style w:type="paragraph" w:customStyle="1" w:styleId="Style2">
    <w:name w:val="Другое"/>
    <w:basedOn w:val="Normal"/>
    <w:link w:val="CharStyle3"/>
    <w:pPr>
      <w:widowControl w:val="0"/>
      <w:shd w:val="clear" w:color="auto" w:fill="auto"/>
      <w:spacing w:after="80"/>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0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spacing w:after="80"/>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23">
    <w:name w:val="Заголовок №1"/>
    <w:basedOn w:val="Normal"/>
    <w:link w:val="CharStyle24"/>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