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1595755</wp:posOffset>
                </wp:positionH>
                <wp:positionV relativeFrom="paragraph">
                  <wp:posOffset>484505</wp:posOffset>
                </wp:positionV>
                <wp:extent cx="895985" cy="152400"/>
                <wp:wrapSquare wrapText="bothSides"/>
                <wp:docPr id="3" name="Shape 3"/>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wps:txbx>
                      <wps:bodyPr wrap="none" lIns="0" tIns="0" rIns="0" bIns="0">
                        <a:noAutoFit/>
                      </wps:bodyPr>
                    </wps:wsp>
                  </a:graphicData>
                </a:graphic>
              </wp:anchor>
            </w:drawing>
          </mc:Choice>
          <mc:Fallback>
            <w:pict>
              <v:shape id="_x0000_s1029" type="#_x0000_t202" style="position:absolute;margin-left:125.65000000000001pt;margin-top:38.149999999999999pt;width:70.549999999999997pt;height:12.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v:textbox>
                <w10:wrap type="square" anchorx="page"/>
              </v:shape>
            </w:pict>
          </mc:Fallback>
        </mc:AlternateContent>
      </w:r>
    </w:p>
    <w:p>
      <w:pPr>
        <w:pStyle w:val="Style5"/>
        <w:keepNext w:val="0"/>
        <w:keepLines w:val="0"/>
        <w:widowControl w:val="0"/>
        <w:shd w:val="clear" w:color="auto" w:fill="auto"/>
        <w:bidi w:val="0"/>
        <w:spacing w:before="0" w:after="280" w:line="240" w:lineRule="auto"/>
        <w:ind w:left="1600" w:right="0" w:firstLine="0"/>
        <w:jc w:val="left"/>
      </w:pPr>
      <w:r>
        <w:rPr>
          <w:color w:val="000000"/>
          <w:spacing w:val="0"/>
          <w:w w:val="100"/>
          <w:position w:val="0"/>
          <w:shd w:val="clear" w:color="auto" w:fill="auto"/>
          <w:lang w:val="ru-RU" w:eastAsia="ru-RU" w:bidi="ru-RU"/>
        </w:rPr>
        <w:t>ГБУК г. Москвы «ПКИО «Сокольники»</w:t>
      </w:r>
    </w:p>
    <w:p>
      <w:pPr>
        <w:pStyle w:val="Style5"/>
        <w:keepNext w:val="0"/>
        <w:keepLines w:val="0"/>
        <w:widowControl w:val="0"/>
        <w:shd w:val="clear" w:color="auto" w:fill="auto"/>
        <w:bidi w:val="0"/>
        <w:spacing w:before="0" w:after="0" w:line="240" w:lineRule="auto"/>
        <w:ind w:left="0" w:right="0" w:firstLine="0"/>
        <w:jc w:val="center"/>
        <w:sectPr>
          <w:headerReference w:type="default" r:id="rId5"/>
          <w:footerReference w:type="default" r:id="rId6"/>
          <w:headerReference w:type="even" r:id="rId7"/>
          <w:footerReference w:type="even" r:id="rId8"/>
          <w:headerReference w:type="first" r:id="rId9"/>
          <w:footerReference w:type="first" r:id="rId10"/>
          <w:footnotePr>
            <w:pos w:val="pageBottom"/>
            <w:numFmt w:val="decimal"/>
            <w:numRestart w:val="continuous"/>
          </w:footnotePr>
          <w:pgSz w:w="11900" w:h="16840"/>
          <w:pgMar w:top="1162" w:right="541" w:bottom="621" w:left="482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а1е8капоVV^@си1^и^е.то8.^и</w:t>
      </w:r>
    </w:p>
    <w:p>
      <w:pPr>
        <w:widowControl w:val="0"/>
        <w:spacing w:line="92" w:lineRule="exact"/>
        <w:rPr>
          <w:sz w:val="7"/>
          <w:szCs w:val="7"/>
        </w:rPr>
      </w:pPr>
    </w:p>
    <w:p>
      <w:pPr>
        <w:widowControl w:val="0"/>
        <w:spacing w:line="1" w:lineRule="exact"/>
        <w:sectPr>
          <w:footnotePr>
            <w:pos w:val="pageBottom"/>
            <w:numFmt w:val="decimal"/>
            <w:numRestart w:val="continuous"/>
          </w:footnotePr>
          <w:type w:val="continuous"/>
          <w:pgSz w:w="11900" w:h="16840"/>
          <w:pgMar w:top="1162" w:right="0" w:bottom="621" w:left="0" w:header="0" w:footer="3" w:gutter="0"/>
          <w:cols w:space="720"/>
          <w:noEndnote/>
          <w:rtlGutter w:val="0"/>
          <w:docGrid w:linePitch="360"/>
        </w:sectPr>
      </w:pPr>
    </w:p>
    <w:p>
      <w:pPr>
        <w:widowControl w:val="0"/>
        <w:spacing w:line="1" w:lineRule="exact"/>
      </w:pPr>
      <w:r>
        <mc:AlternateContent>
          <mc:Choice Requires="wps">
            <w:drawing>
              <wp:anchor distT="38100" distB="0" distL="114300" distR="114300" simplePos="0" relativeHeight="125829382" behindDoc="0" locked="0" layoutInCell="1" allowOverlap="1">
                <wp:simplePos x="0" y="0"/>
                <wp:positionH relativeFrom="page">
                  <wp:posOffset>1260475</wp:posOffset>
                </wp:positionH>
                <wp:positionV relativeFrom="paragraph">
                  <wp:posOffset>262255</wp:posOffset>
                </wp:positionV>
                <wp:extent cx="1557655" cy="292735"/>
                <wp:wrapTopAndBottom/>
                <wp:docPr id="13" name="Shape 13"/>
                <a:graphic xmlns:a="http://schemas.openxmlformats.org/drawingml/2006/main">
                  <a:graphicData uri="http://schemas.microsoft.com/office/word/2010/wordprocessingShape">
                    <wps:wsp>
                      <wps:cNvSpPr txBox="1"/>
                      <wps:spPr>
                        <a:xfrm>
                          <a:ext cx="155765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mallCaps/>
                                <w:spacing w:val="0"/>
                                <w:w w:val="100"/>
                                <w:position w:val="0"/>
                                <w:shd w:val="clear" w:color="auto" w:fill="auto"/>
                                <w:lang w:val="ru-RU" w:eastAsia="ru-RU" w:bidi="ru-RU"/>
                              </w:rPr>
                              <w:t>Мясницкий</w:t>
                            </w:r>
                            <w:r>
                              <w:rPr>
                                <w:spacing w:val="0"/>
                                <w:w w:val="100"/>
                                <w:position w:val="0"/>
                                <w:shd w:val="clear" w:color="auto" w:fill="auto"/>
                                <w:lang w:val="ru-RU" w:eastAsia="ru-RU" w:bidi="ru-RU"/>
                              </w:rPr>
                              <w:t xml:space="preserve"> проезд, д.4, стр. 1</w:t>
                              <w:br/>
                              <w:t>107078, г. Москва,</w:t>
                            </w:r>
                          </w:p>
                        </w:txbxContent>
                      </wps:txbx>
                      <wps:bodyPr lIns="0" tIns="0" rIns="0" bIns="0">
                        <a:noAutoFit/>
                      </wps:bodyPr>
                    </wps:wsp>
                  </a:graphicData>
                </a:graphic>
              </wp:anchor>
            </w:drawing>
          </mc:Choice>
          <mc:Fallback>
            <w:pict>
              <v:shape id="_x0000_s1039" type="#_x0000_t202" style="position:absolute;margin-left:99.25pt;margin-top:20.650000000000002pt;width:122.65000000000001pt;height:23.050000000000001pt;z-index:-125829371;mso-wrap-distance-left:9.pt;mso-wrap-distance-top:3.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mallCaps/>
                          <w:spacing w:val="0"/>
                          <w:w w:val="100"/>
                          <w:position w:val="0"/>
                          <w:shd w:val="clear" w:color="auto" w:fill="auto"/>
                          <w:lang w:val="ru-RU" w:eastAsia="ru-RU" w:bidi="ru-RU"/>
                        </w:rPr>
                        <w:t>Мясницкий</w:t>
                      </w:r>
                      <w:r>
                        <w:rPr>
                          <w:spacing w:val="0"/>
                          <w:w w:val="100"/>
                          <w:position w:val="0"/>
                          <w:shd w:val="clear" w:color="auto" w:fill="auto"/>
                          <w:lang w:val="ru-RU" w:eastAsia="ru-RU" w:bidi="ru-RU"/>
                        </w:rPr>
                        <w:t xml:space="preserve"> проезд, д.4, стр. 1</w:t>
                        <w:br/>
                        <w:t>107078, г. Москва,</w:t>
                      </w:r>
                    </w:p>
                  </w:txbxContent>
                </v:textbox>
                <w10:wrap type="topAndBottom" anchorx="page"/>
              </v:shape>
            </w:pict>
          </mc:Fallback>
        </mc:AlternateContent>
      </w:r>
    </w:p>
    <w:p>
      <w:pPr>
        <w:pStyle w:val="Style2"/>
        <w:keepNext w:val="0"/>
        <w:keepLines w:val="0"/>
        <w:widowControl w:val="0"/>
        <w:shd w:val="clear" w:color="auto" w:fill="auto"/>
        <w:bidi w:val="0"/>
        <w:spacing w:before="0" w:after="100" w:line="240" w:lineRule="auto"/>
        <w:ind w:left="0" w:right="0" w:firstLine="0"/>
        <w:jc w:val="center"/>
      </w:pPr>
      <w:r>
        <w:rPr>
          <w:b/>
          <w:bCs/>
          <w:spacing w:val="0"/>
          <w:w w:val="100"/>
          <w:position w:val="0"/>
          <w:shd w:val="clear" w:color="auto" w:fill="auto"/>
          <w:lang w:val="ru-RU" w:eastAsia="ru-RU" w:bidi="ru-RU"/>
        </w:rPr>
        <w:t>по г. Москве</w:t>
        <w:br/>
      </w: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2"/>
        <w:keepNext/>
        <w:keepLines/>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03.10.2024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40871/24</w:t>
      </w:r>
      <w:bookmarkEnd w:id="0"/>
    </w:p>
    <w:p>
      <w:pPr>
        <w:pStyle w:val="Style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 xml:space="preserve">Департамент города Москвы по конкурентной политике </w:t>
      </w:r>
      <w:r>
        <w:rPr>
          <w:color w:val="000000"/>
          <w:spacing w:val="0"/>
          <w:w w:val="100"/>
          <w:position w:val="0"/>
          <w:shd w:val="clear" w:color="auto" w:fill="auto"/>
          <w:lang w:val="ru-RU" w:eastAsia="ru-RU" w:bidi="ru-RU"/>
        </w:rPr>
        <w:t>то81епдег@то8.ги</w:t>
      </w: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1645" w:bottom="621" w:left="1269" w:header="0" w:footer="3" w:gutter="0"/>
          <w:cols w:num="2" w:space="1286"/>
          <w:noEndnote/>
          <w:rtlGutter w:val="0"/>
          <w:docGrid w:linePitch="360"/>
        </w:sectPr>
      </w:pPr>
      <w:r>
        <w:rPr>
          <w:color w:val="000000"/>
          <w:spacing w:val="0"/>
          <w:w w:val="100"/>
          <w:position w:val="0"/>
          <w:shd w:val="clear" w:color="auto" w:fill="auto"/>
          <w:lang w:val="ru-RU" w:eastAsia="ru-RU" w:bidi="ru-RU"/>
        </w:rPr>
        <w:t>ООО «СТРОЙАРСЕНАЛ 22 ВЕК»</w:t>
      </w:r>
    </w:p>
    <w:p>
      <w:pPr>
        <w:pStyle w:val="Style2"/>
        <w:keepNext w:val="0"/>
        <w:keepLines w:val="0"/>
        <w:widowControl w:val="0"/>
        <w:shd w:val="clear" w:color="auto" w:fill="auto"/>
        <w:bidi w:val="0"/>
        <w:spacing w:before="0" w:after="60" w:line="240" w:lineRule="auto"/>
        <w:ind w:left="0" w:right="0" w:firstLine="0"/>
        <w:jc w:val="left"/>
      </w:pPr>
      <w:r>
        <w:rPr>
          <w:spacing w:val="0"/>
          <w:w w:val="100"/>
          <w:position w:val="0"/>
          <w:shd w:val="clear" w:color="auto" w:fill="auto"/>
          <w:lang w:val="ru-RU" w:eastAsia="ru-RU" w:bidi="ru-RU"/>
        </w:rPr>
        <w:t>На№</w:t>
      </w:r>
    </w:p>
    <w:p>
      <w:pPr>
        <w:pStyle w:val="Style5"/>
        <w:keepNext w:val="0"/>
        <w:keepLines w:val="0"/>
        <w:widowControl w:val="0"/>
        <w:shd w:val="clear" w:color="auto" w:fill="auto"/>
        <w:bidi w:val="0"/>
        <w:spacing w:before="0" w:after="220" w:line="240" w:lineRule="auto"/>
        <w:ind w:left="5320" w:right="0" w:firstLine="0"/>
        <w:jc w:val="left"/>
      </w:pPr>
      <w:r>
        <w:rPr>
          <w:color w:val="000000"/>
          <w:spacing w:val="0"/>
          <w:w w:val="100"/>
          <w:position w:val="0"/>
          <w:shd w:val="clear" w:color="auto" w:fill="auto"/>
          <w:lang w:val="ru-RU" w:eastAsia="ru-RU" w:bidi="ru-RU"/>
        </w:rPr>
        <w:t>п48-р^аVО@та^^^и</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№077/06/106-13042/2024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4" behindDoc="0" locked="0" layoutInCell="1" allowOverlap="1">
                <wp:simplePos x="0" y="0"/>
                <wp:positionH relativeFrom="page">
                  <wp:posOffset>6261735</wp:posOffset>
                </wp:positionH>
                <wp:positionV relativeFrom="paragraph">
                  <wp:posOffset>38100</wp:posOffset>
                </wp:positionV>
                <wp:extent cx="795655" cy="201295"/>
                <wp:wrapSquare wrapText="left"/>
                <wp:docPr id="15" name="Shape 15"/>
                <a:graphic xmlns:a="http://schemas.openxmlformats.org/drawingml/2006/main">
                  <a:graphicData uri="http://schemas.microsoft.com/office/word/2010/wordprocessingShape">
                    <wps:wsp>
                      <wps:cNvSpPr txBox="1"/>
                      <wps:spPr>
                        <a:xfrm>
                          <a:ext cx="795655"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41" type="#_x0000_t202" style="position:absolute;margin-left:493.05000000000001pt;margin-top:3.pt;width:62.649999999999999pt;height:15.85pt;z-index:-125829369;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30.09.2024</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ООО «СТРОЙАРСЕНАЛ 22 ВЕК»: Д.В. Доброштан (доверенность от 05.12.2023 №13), Е.В. Филлиповой (доверенность от 05.12.2023 №б/н), Е.Ю. Петровой (доверенность от 28.11.2023),</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ГБУК г. Москвы «ПКИО «Сокольники»: Е.А. Титчевой (доверенность от 18.08.2024 №01-01-11-50/24),</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Департамента города Москвы по конкурентной политике: А.А. Арзуманян (доверенность от 09.01.2024 №77-13-1/24-2),</w:t>
      </w:r>
    </w:p>
    <w:p>
      <w:pPr>
        <w:pStyle w:val="Style5"/>
        <w:keepNext w:val="0"/>
        <w:keepLines w:val="0"/>
        <w:widowControl w:val="0"/>
        <w:shd w:val="clear" w:color="auto" w:fill="auto"/>
        <w:bidi w:val="0"/>
        <w:spacing w:before="0" w:after="480"/>
        <w:ind w:left="0" w:right="0" w:firstLine="700"/>
        <w:jc w:val="both"/>
      </w:pPr>
      <w:r>
        <w:rPr>
          <w:color w:val="000000"/>
          <w:spacing w:val="0"/>
          <w:w w:val="100"/>
          <w:position w:val="0"/>
          <w:shd w:val="clear" w:color="auto" w:fill="auto"/>
          <w:lang w:val="ru-RU" w:eastAsia="ru-RU" w:bidi="ru-RU"/>
        </w:rPr>
        <w:t>рассмотрев жалобу ООО «СТРОЙАРСЕНАЛ 22 ВЕК» (далее — Заявитель) на действия ГБУК г. Москвы «ПКИО «Сокольники» (далее — Заказчик) при проведении открытого конкурса в электронной форме на право заключения государственного контракта на выполнение работ по удалению сухостойных, аварийных и упавших (валежных) деревьев в границах части особо охраняемой</w:t>
      </w:r>
    </w:p>
    <w:p>
      <w:pPr>
        <w:pStyle w:val="Style16"/>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40"/>
        <w:ind w:left="0" w:right="0" w:firstLine="0"/>
        <w:jc w:val="both"/>
      </w:pPr>
      <w:r>
        <w:rPr>
          <w:color w:val="000000"/>
          <w:spacing w:val="0"/>
          <w:w w:val="100"/>
          <w:position w:val="0"/>
          <w:shd w:val="clear" w:color="auto" w:fill="auto"/>
          <w:lang w:val="ru-RU" w:eastAsia="ru-RU" w:bidi="ru-RU"/>
        </w:rPr>
        <w:t>природной территории федерального значения «Национальный парк «Лосиный остров» на территории ГБУК г. Москвы «ПКиО «Сокольники» (Закупка № 0173200001424001307) (далее — конкурс),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конкурса.</w:t>
      </w:r>
    </w:p>
    <w:p>
      <w:pPr>
        <w:pStyle w:val="Style5"/>
        <w:keepNext w:val="0"/>
        <w:keepLines w:val="0"/>
        <w:widowControl w:val="0"/>
        <w:shd w:val="clear" w:color="auto" w:fill="auto"/>
        <w:bidi w:val="0"/>
        <w:spacing w:before="0" w:after="0"/>
        <w:ind w:left="0" w:right="0" w:firstLine="720"/>
        <w:jc w:val="both"/>
      </w:pPr>
      <w:r>
        <w:rPr>
          <w:color w:val="00000A"/>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Заявителя.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протоколу рассмотрения и оценки вторых частей заявок на участие в открытом конкурсе в электронной форме от 17.09.2024 №ПРОШ заявка участника закупки ООО «СТРОЙАРСЕНАЛ 22 ВЕК», с идентификационным номером заявки 4, отклонена комиссией по осуществлению закупок Заказчика на следующем основании: «</w:t>
      </w:r>
      <w:r>
        <w:rPr>
          <w:i/>
          <w:iCs/>
          <w:color w:val="000000"/>
          <w:spacing w:val="0"/>
          <w:w w:val="100"/>
          <w:position w:val="0"/>
          <w:shd w:val="clear" w:color="auto" w:fill="auto"/>
          <w:lang w:val="ru-RU" w:eastAsia="ru-RU" w:bidi="ru-RU"/>
        </w:rPr>
        <w:t>Заявка участника отклоняется в соответствии с подпунктом «а» пункта 1 части 11 статьи 48 признана не соответствующей требованиям на основании п.3 ч.12 ст. 48 Федерального закона от 05.04.2013 ^ 44-ФЗ «О контрактной системе в сфере закупок товаров, работ, услуг для обеспечения государственных и муниципальных нужд» и информационной карты по проведению конкурса в электронной форме (п.15.2 раздела II. «Требования, предъявляемые к участникам закупки и необходимый перечень документов для участия в закупке. Подача заявок на участие в открытом конкурсе в электронной форме.»), а именно:</w:t>
      </w:r>
    </w:p>
    <w:p>
      <w:pPr>
        <w:pStyle w:val="Style5"/>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-В соответствии с требованием извещения (информационной карты конкурса в электронной форме) и согласно ч.2.1 ст.31 Закона о контрактной системе: Установлено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заключенного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w:t>
      </w:r>
    </w:p>
    <w:p>
      <w:pPr>
        <w:pStyle w:val="Style5"/>
        <w:keepNext w:val="0"/>
        <w:keepLines w:val="0"/>
        <w:widowControl w:val="0"/>
        <w:shd w:val="clear" w:color="auto" w:fill="auto"/>
        <w:bidi w:val="0"/>
        <w:spacing w:before="0" w:after="0" w:line="254" w:lineRule="auto"/>
        <w:ind w:left="0" w:right="0" w:firstLine="0"/>
        <w:jc w:val="both"/>
      </w:pPr>
      <w:r>
        <w:rPr>
          <w:i/>
          <w:iCs/>
          <w:color w:val="000000"/>
          <w:spacing w:val="0"/>
          <w:w w:val="100"/>
          <w:position w:val="0"/>
          <w:shd w:val="clear" w:color="auto" w:fill="auto"/>
          <w:lang w:val="ru-RU" w:eastAsia="ru-RU" w:bidi="ru-RU"/>
        </w:rPr>
        <w:t>(максимальной) цены контракта.</w:t>
      </w:r>
    </w:p>
    <w:p>
      <w:pPr>
        <w:pStyle w:val="Style5"/>
        <w:keepNext w:val="0"/>
        <w:keepLines w:val="0"/>
        <w:widowControl w:val="0"/>
        <w:shd w:val="clear" w:color="auto" w:fill="auto"/>
        <w:bidi w:val="0"/>
        <w:spacing w:before="0" w:after="0" w:line="254" w:lineRule="auto"/>
        <w:ind w:left="0" w:right="0" w:firstLine="700"/>
        <w:jc w:val="both"/>
      </w:pPr>
      <w:r>
        <w:rPr>
          <w:i/>
          <w:iCs/>
          <w:color w:val="000000"/>
          <w:spacing w:val="0"/>
          <w:w w:val="100"/>
          <w:position w:val="0"/>
          <w:shd w:val="clear" w:color="auto" w:fill="auto"/>
          <w:lang w:val="ru-RU" w:eastAsia="ru-RU" w:bidi="ru-RU"/>
        </w:rPr>
        <w:t>Участником представлен договор от 18.10.2022, заключенный с коллективным участником. Вместе с тем, договор в подтверждение дополнительного требования должен быть заключен с участником закупки и исполнен участником закупки в полном объеме, то есть выполнение работ, оказание услуг по соответствующему договору должно быть завершено, что будет являться подтверждением наличия опыта у конкретного лица, позволяющего сделать вывод об объеме выполненных работ, оказанных услуг непосредственно этим участником».</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ч.2.1 ст.31 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ч.2 ст.31 Закона о контрактной системе)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5"/>
        <w:keepNext w:val="0"/>
        <w:keepLines w:val="0"/>
        <w:widowControl w:val="0"/>
        <w:shd w:val="clear" w:color="auto" w:fill="auto"/>
        <w:bidi w:val="0"/>
        <w:spacing w:before="0" w:after="0" w:line="259"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Согласно п.9 ч.1 ст.42 Закона о контрактной системе извещение об осуществлении закупки должно содержать информацию о начальной (максимальной) цене контракта (цена отдельных этапов исполнения контракта, если проектом контракта предусмотрены такие этапы), источнике финансирования, наименовании валюты в соответствии с общероссийским классификатором валют. В случае, предусмотренном ч.24 ст.22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w:t>
      </w:r>
      <w:r>
        <w:rPr>
          <w:rFonts w:ascii="Cambria" w:eastAsia="Cambria" w:hAnsi="Cambria" w:cs="Cambria"/>
          <w:color w:val="000000"/>
          <w:spacing w:val="0"/>
          <w:w w:val="100"/>
          <w:position w:val="0"/>
          <w:sz w:val="22"/>
          <w:szCs w:val="22"/>
          <w:shd w:val="clear" w:color="auto" w:fill="auto"/>
          <w:lang w:val="ru-RU" w:eastAsia="ru-RU" w:bidi="ru-RU"/>
        </w:rPr>
        <w:t>2024-46564</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установленных Правительством Российской Федерации в соответствии с ч.2 ст.34 Закона о контрактной системе, указываются ориентировочное значение цены контракта либо формула цены и максимальное значение цены контракта.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ч.5 ст.31 Закона о контрактной системе информация об установленных требованиях в соответствии с ч.1, 1.1, 2 и 2.1 ст. 31 Закона о контрактной системе указывается заказчиком в извещении об осуществлении закупки и документации о закупке (в случае, если настоящим Законом о контрактной системе предусмотрена документация о закупке).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открытого конкурса в электронной форме от 28.08.2024 №0173200001424001307, начальная (максимальная) цена контракта, заключаемого по результатам закупочной процедуры, составляет 216 999 827,98 руб., при этом в составе извещения Заказчиком установлены дополнительные требования к участникам закупки в соответствии с ч.2.1 ст.31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п.4 Постановления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ч.2.1 ст.31 Закона о контрактной системе, являются информация и документы, предусмотренные хотя бы одним из следующих подпунктов:</w:t>
      </w:r>
    </w:p>
    <w:p>
      <w:pPr>
        <w:pStyle w:val="Style5"/>
        <w:keepNext w:val="0"/>
        <w:keepLines w:val="0"/>
        <w:widowControl w:val="0"/>
        <w:numPr>
          <w:ilvl w:val="0"/>
          <w:numId w:val="1"/>
        </w:numPr>
        <w:shd w:val="clear" w:color="auto" w:fill="auto"/>
        <w:tabs>
          <w:tab w:pos="1080" w:val="left"/>
        </w:tabs>
        <w:bidi w:val="0"/>
        <w:spacing w:before="0" w:after="0"/>
        <w:ind w:left="0" w:right="0" w:firstLine="700"/>
        <w:jc w:val="both"/>
      </w:pPr>
      <w:r>
        <w:rPr>
          <w:color w:val="000000"/>
          <w:spacing w:val="0"/>
          <w:w w:val="100"/>
          <w:position w:val="0"/>
          <w:shd w:val="clear" w:color="auto" w:fill="auto"/>
          <w:lang w:val="ru-RU" w:eastAsia="ru-RU" w:bidi="ru-RU"/>
        </w:rPr>
        <w:t>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pPr>
        <w:pStyle w:val="Style5"/>
        <w:keepNext w:val="0"/>
        <w:keepLines w:val="0"/>
        <w:widowControl w:val="0"/>
        <w:numPr>
          <w:ilvl w:val="0"/>
          <w:numId w:val="1"/>
        </w:numPr>
        <w:shd w:val="clear" w:color="auto" w:fill="auto"/>
        <w:tabs>
          <w:tab w:pos="1080" w:val="left"/>
        </w:tabs>
        <w:bidi w:val="0"/>
        <w:spacing w:before="0" w:after="0"/>
        <w:ind w:left="0" w:right="0" w:firstLine="700"/>
        <w:jc w:val="both"/>
        <w:sectPr>
          <w:footnotePr>
            <w:pos w:val="pageBottom"/>
            <w:numFmt w:val="decimal"/>
            <w:numRestart w:val="continuous"/>
          </w:footnotePr>
          <w:type w:val="continuous"/>
          <w:pgSz w:w="11900" w:h="16840"/>
          <w:pgMar w:top="999" w:right="532" w:bottom="859" w:left="1091" w:header="0" w:footer="3" w:gutter="0"/>
          <w:cols w:space="720"/>
          <w:noEndnote/>
          <w:rtlGutter w:val="0"/>
          <w:docGrid w:linePitch="360"/>
        </w:sectPr>
      </w:pPr>
      <w:r>
        <w:rPr>
          <w:color w:val="000000"/>
          <w:spacing w:val="0"/>
          <w:w w:val="100"/>
          <w:position w:val="0"/>
          <w:shd w:val="clear" w:color="auto" w:fill="auto"/>
          <w:lang w:val="ru-RU" w:eastAsia="ru-RU" w:bidi="ru-RU"/>
        </w:rPr>
        <w:t>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5"/>
        <w:keepNext w:val="0"/>
        <w:keepLines w:val="0"/>
        <w:widowControl w:val="0"/>
        <w:numPr>
          <w:ilvl w:val="0"/>
          <w:numId w:val="1"/>
        </w:numPr>
        <w:shd w:val="clear" w:color="auto" w:fill="auto"/>
        <w:tabs>
          <w:tab w:pos="108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ч.2 ст.48 Закона о контрактной системе в том числе установлено, что вторая часть должна содержать информацию и документы, предусмотренные пп.«м» - «р» п.1, пп.«в» п.2, п.5 ч.1 ст.43 Закона о контрактной системе.</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пп.«н» п.1 ч.1 ст.43 Закона о контрактной системе заявка на участие в закупке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2.1 (при наличии таких требований) ст.31 Закона о контрактной системе, если иное не предусмотрено Законом о контрактной системе.</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п.3 ч.6 ст.43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ч.2 или 2.1 (при наличии таких требований) ст.31 Закона о контрактной системе, и предусмотренные пп.«н» п.1 ч.1 ст.43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5"/>
        <w:keepNext w:val="0"/>
        <w:keepLines w:val="0"/>
        <w:widowControl w:val="0"/>
        <w:shd w:val="clear" w:color="auto" w:fill="auto"/>
        <w:tabs>
          <w:tab w:pos="5227"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рамках п.3 ч.6 ст.43 Закона о контрактной системе, оператором электронной площадки в том числе направлен Гражданско-правовой договор №</w:t>
        <w:tab/>
        <w:t>32211677542, заключенный между</w:t>
      </w:r>
    </w:p>
    <w:p>
      <w:pPr>
        <w:pStyle w:val="Style5"/>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ООО «СТРОЙАРСЕНАЛ 22 ВЕК» и ГАУК г. Москвы ПКиО «Лианозовский», на оказание услуг по уборке и содержанию парковых территорий для нужд ГАУК г. Москвы ПКиО «Лианозовский».</w:t>
      </w:r>
    </w:p>
    <w:p>
      <w:pPr>
        <w:pStyle w:val="Style5"/>
        <w:keepNext w:val="0"/>
        <w:keepLines w:val="0"/>
        <w:widowControl w:val="0"/>
        <w:shd w:val="clear" w:color="auto" w:fill="auto"/>
        <w:bidi w:val="0"/>
        <w:spacing w:before="0" w:after="0" w:line="262"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Согласно ч.11 ст.48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п.2 ч.10 ст.48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w:t>
      </w:r>
      <w:r>
        <w:rPr>
          <w:rFonts w:ascii="Cambria" w:eastAsia="Cambria" w:hAnsi="Cambria" w:cs="Cambria"/>
          <w:color w:val="000000"/>
          <w:spacing w:val="0"/>
          <w:w w:val="100"/>
          <w:position w:val="0"/>
          <w:sz w:val="22"/>
          <w:szCs w:val="22"/>
          <w:shd w:val="clear" w:color="auto" w:fill="auto"/>
          <w:lang w:val="ru-RU" w:eastAsia="ru-RU" w:bidi="ru-RU"/>
        </w:rPr>
        <w:t>2024-46564</w:t>
      </w:r>
    </w:p>
    <w:p>
      <w:pPr>
        <w:pStyle w:val="Style5"/>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осуществлении закупки:</w:t>
      </w:r>
    </w:p>
    <w:p>
      <w:pPr>
        <w:pStyle w:val="Style5"/>
        <w:keepNext w:val="0"/>
        <w:keepLines w:val="0"/>
        <w:widowControl w:val="0"/>
        <w:numPr>
          <w:ilvl w:val="0"/>
          <w:numId w:val="3"/>
        </w:numPr>
        <w:shd w:val="clear" w:color="auto" w:fill="auto"/>
        <w:tabs>
          <w:tab w:pos="105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члены комиссии по осуществлению закупок:</w:t>
      </w:r>
    </w:p>
    <w:p>
      <w:pPr>
        <w:pStyle w:val="Style5"/>
        <w:keepNext w:val="0"/>
        <w:keepLines w:val="0"/>
        <w:widowControl w:val="0"/>
        <w:numPr>
          <w:ilvl w:val="0"/>
          <w:numId w:val="5"/>
        </w:numPr>
        <w:shd w:val="clear" w:color="auto" w:fill="auto"/>
        <w:tabs>
          <w:tab w:pos="105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п.2 ч.10 ст.48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5"/>
        <w:keepNext w:val="0"/>
        <w:keepLines w:val="0"/>
        <w:widowControl w:val="0"/>
        <w:numPr>
          <w:ilvl w:val="0"/>
          <w:numId w:val="5"/>
        </w:numPr>
        <w:shd w:val="clear" w:color="auto" w:fill="auto"/>
        <w:tabs>
          <w:tab w:pos="105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п.4 ч.1 ст.32 Закона о контрактной системе (если такой критерий установлен извещением об осуществлении закупки);</w:t>
      </w:r>
    </w:p>
    <w:p>
      <w:pPr>
        <w:pStyle w:val="Style5"/>
        <w:keepNext w:val="0"/>
        <w:keepLines w:val="0"/>
        <w:widowControl w:val="0"/>
        <w:numPr>
          <w:ilvl w:val="0"/>
          <w:numId w:val="3"/>
        </w:numPr>
        <w:shd w:val="clear" w:color="auto" w:fill="auto"/>
        <w:tabs>
          <w:tab w:pos="105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представленный Заказчику договор является надлежащим подтверждением наличия у участника закупки исполненных обязательств, который исполнен участником закупки в полном объеме, что подтверждается также представленными актами, в соответствии с требованиями ч.2.1 ст.31 Закона о контрактной системе, п.4 Постановления №2571, ввиду чего отклонение заявки участника закупки является неправомерным.</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59"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На заседании Комиссии Управления представитель уполномоченного органа пояснил, что в составе документов, направленных оператором элеронной площадки в рамках п.3 ч.6 ст.43 Закона о контрактной системе, представлен договор №32211677542, заключенный между ООО «СТРОЙАРСЕНАЛ 22 ВЕК» и ГАУК г. Москвы ПКиО «Лианозовский» на оказание услуг по уборке и содержанию парковых территорий для нужд ГАУК г. Москвы ПКиО «Лианозовский», однако в составе представленного документа отсутствуют сведения позволяющие Заказчику определить объем работ, выполненный в рамках такого договора непосредственно ООО «СТРОЙАРСЕНАЛ 22 ВЕК», ввиду чего представленный договор не может быть рассмотрен комиссией по осуществлению </w:t>
      </w:r>
      <w:r>
        <w:rPr>
          <w:rFonts w:ascii="Cambria" w:eastAsia="Cambria" w:hAnsi="Cambria" w:cs="Cambria"/>
          <w:color w:val="000000"/>
          <w:spacing w:val="0"/>
          <w:w w:val="100"/>
          <w:position w:val="0"/>
          <w:sz w:val="22"/>
          <w:szCs w:val="22"/>
          <w:shd w:val="clear" w:color="auto" w:fill="auto"/>
          <w:lang w:val="ru-RU" w:eastAsia="ru-RU" w:bidi="ru-RU"/>
        </w:rPr>
        <w:t>2024-46564</w:t>
      </w:r>
    </w:p>
    <w:p>
      <w:pPr>
        <w:pStyle w:val="Style5"/>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закупок как надлежащие подтверждение наличия у участника закупки исполненных обязательств по спорному договору.</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обоснование своей позиции представитель уполномоченного органа пояснил, что в рамках закупочной процедуры № 32211677542 Заявителем была подана заявка коллективного участника, в которой ООО «СТРОЙАРСЕНАЛ 22 ВЕК» является ведущим партнером, в связи с чем договор №32211677542 подлежал заключению с коллективным участником. При этом, исходя из положений Постановления №2571, представленный участником закупки договор и акт приемки выполненных работ должны подтверждать, на какую сумму участник закупки выполнил соответствующие работы. Вместе с тем, в рассматриваемом случае, из представленного договора заключенного с коллективным участником закупки не представляется возможным определить, на какую сумму выполнены работы непосредственно ООО «СТРОЙАРСЕНАЛ 22 ВЕК», что свидетельствует о том, что Заявителем не подтвержден опыт в соответствии с положениями Постановления №2571.</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Вместе с тем согласно положению о закупках товаров, работ, услуг для нужд ГАУК г. Москвы ПКиО «Лианозовский» определено:</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«Если заявка на участие в закупке подается коллективным участником, то заявка таким участником закупки должна быть представлена в соответствии с нижеприведенными требованиями:</w:t>
      </w:r>
    </w:p>
    <w:p>
      <w:pPr>
        <w:pStyle w:val="Style5"/>
        <w:keepNext w:val="0"/>
        <w:keepLines w:val="0"/>
        <w:widowControl w:val="0"/>
        <w:numPr>
          <w:ilvl w:val="0"/>
          <w:numId w:val="7"/>
        </w:numPr>
        <w:shd w:val="clear" w:color="auto" w:fill="auto"/>
        <w:tabs>
          <w:tab w:pos="1052"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заявка на участие в закупке подается лидером коллективного участника со ссылкой на то, что он представляет интересы всех лиц, входящих в состав коллективного участника;</w:t>
      </w:r>
    </w:p>
    <w:p>
      <w:pPr>
        <w:pStyle w:val="Style5"/>
        <w:keepNext w:val="0"/>
        <w:keepLines w:val="0"/>
        <w:widowControl w:val="0"/>
        <w:numPr>
          <w:ilvl w:val="0"/>
          <w:numId w:val="7"/>
        </w:numPr>
        <w:shd w:val="clear" w:color="auto" w:fill="auto"/>
        <w:tabs>
          <w:tab w:pos="1052"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 составе заявки на участие в закупке предоставляется копия соглашения между лицами, являющимися членами коллективного участника.</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Лица, входящие в состав коллективного участника, заключают соглашение, соответствующее нормам Гражданского кодекса Российской Федерации и отвечающее следующим требованиям:</w:t>
      </w:r>
    </w:p>
    <w:p>
      <w:pPr>
        <w:pStyle w:val="Style5"/>
        <w:keepNext w:val="0"/>
        <w:keepLines w:val="0"/>
        <w:widowControl w:val="0"/>
        <w:numPr>
          <w:ilvl w:val="0"/>
          <w:numId w:val="7"/>
        </w:numPr>
        <w:shd w:val="clear" w:color="auto" w:fill="auto"/>
        <w:tabs>
          <w:tab w:pos="1018"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соглашении должно быть установлено согласие каждого лица на принятие обязательств по участию в закупке и исполнению договора;</w:t>
      </w:r>
    </w:p>
    <w:p>
      <w:pPr>
        <w:pStyle w:val="Style5"/>
        <w:keepNext w:val="0"/>
        <w:keepLines w:val="0"/>
        <w:widowControl w:val="0"/>
        <w:numPr>
          <w:ilvl w:val="0"/>
          <w:numId w:val="7"/>
        </w:numPr>
        <w:shd w:val="clear" w:color="auto" w:fill="auto"/>
        <w:tabs>
          <w:tab w:pos="1018"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соглашении должны быть четко определены права и обязанности сторон как в рамках участия в закупке, так и в рамках исполнения договора;</w:t>
      </w:r>
    </w:p>
    <w:p>
      <w:pPr>
        <w:pStyle w:val="Style5"/>
        <w:keepNext w:val="0"/>
        <w:keepLines w:val="0"/>
        <w:widowControl w:val="0"/>
        <w:numPr>
          <w:ilvl w:val="0"/>
          <w:numId w:val="7"/>
        </w:numPr>
        <w:shd w:val="clear" w:color="auto" w:fill="auto"/>
        <w:tabs>
          <w:tab w:pos="1018"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соглашении должны быть четко распределены обязательства по договору между членами коллективного участника;</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соглашением должен быть установлен лидер коллективного участника закупки, который в дальнейшем представляет интересы каждой из сторон, входящих в состав коллективного участника, во взаимоотношениях с заказчиком».</w:t>
      </w:r>
    </w:p>
    <w:p>
      <w:pPr>
        <w:pStyle w:val="Style5"/>
        <w:keepNext w:val="0"/>
        <w:keepLines w:val="0"/>
        <w:widowControl w:val="0"/>
        <w:shd w:val="clear" w:color="auto" w:fill="auto"/>
        <w:bidi w:val="0"/>
        <w:spacing w:before="0" w:after="0" w:line="262" w:lineRule="auto"/>
        <w:ind w:left="0" w:right="0" w:firstLine="700"/>
        <w:jc w:val="both"/>
        <w:rPr>
          <w:sz w:val="22"/>
          <w:szCs w:val="22"/>
        </w:rPr>
        <w:sectPr>
          <w:headerReference w:type="default" r:id="rId11"/>
          <w:footerReference w:type="default" r:id="rId12"/>
          <w:headerReference w:type="even" r:id="rId13"/>
          <w:footerReference w:type="even" r:id="rId14"/>
          <w:footnotePr>
            <w:pos w:val="pageBottom"/>
            <w:numFmt w:val="decimal"/>
            <w:numRestart w:val="continuous"/>
          </w:footnotePr>
          <w:pgSz w:w="11900" w:h="16840"/>
          <w:pgMar w:top="1162" w:right="541" w:bottom="696" w:left="1106" w:header="0" w:footer="268"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Кроме того, представитель уполномоченного органа пояснил, что согласно письму Министерства экономического развития Российской Федерации от 30 октября 2015 г. №Д28и-3153 определено: «В случае если победителем в процедуре закупки признан участник закупки, на стороне которого выступали несколько физических или юридических лиц, заказчиком должен быть заключен один договор со всеми юридическими или физическими лицами, выступавшими на </w:t>
      </w:r>
      <w:r>
        <w:rPr>
          <w:rFonts w:ascii="Cambria" w:eastAsia="Cambria" w:hAnsi="Cambria" w:cs="Cambria"/>
          <w:color w:val="000000"/>
          <w:spacing w:val="0"/>
          <w:w w:val="100"/>
          <w:position w:val="0"/>
          <w:sz w:val="22"/>
          <w:szCs w:val="22"/>
          <w:shd w:val="clear" w:color="auto" w:fill="auto"/>
          <w:lang w:val="ru-RU" w:eastAsia="ru-RU" w:bidi="ru-RU"/>
        </w:rPr>
        <w:t>2024-46564</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стороне победившего участника закупки, при этом непосредственно подписание договора может осуществляться одним лицом, действующим от имени всех остальных лиц по доверенности или на основании договора простого товарищества, совершенного в письменной форме. Указанные лица солидарно отвечают перед заказчиком за исполнение обязательств, предусмотренных договором, заключенным по результатам процедуры закупки в соответствии со ст. ст. 321 - 325, 1047 ГК РФ».</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на заседании Комиссии Управления Заявителем не представлено документов и сведений, свидетельствующих, что в составе документов, размещенных ООО «СТРОЙАРСЕНАЛ 22 ВЕК» и направленных оператором электронной площадки в соответствии с положениями п.3 ч.6 ст.43 Закона о контрактной системе, представлена информация, позволяющая определить объем исполненных непосредственно ООО «СТРОЙАРСЕНАЛ 22 ВЕК» обязательств.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представители Заявителя указали на неправомерные действия комиссии Заказчика, выразившиеся в неправомерном принятии решении отклонить заявку на основании сведений, прямо не относящихся к порядку подтверждения соответствия участника дополнительным требованиям в соответствии с ч.2.1 ст.31 Закона о контрактной системе в рамках участия в рассматриваемой закупке, поскольку представленные документы в полной мере отвечают требованиям Постановления № 2571 и свидетельствуют о факте исполнения контракта ООО «СТРОЙАРСЕНАЛ 22 ВЕК» лично.</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Однако, представители Заявителя на заседании Комиссии Управления не оспаривали факт подачи заявки на участие в закупке №32211677542 коллективным участником в закупочной процедуре, по результатам которой заключен представленный в качестве подтверждения соответствия дополнительным требованиям договор, а также наличие в составе заявки на участие в закупке №32211677542 соглашения, определяющего права и обязанности сторон как в рамках участия в закупке, так и в рамках исполнения договора.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Комиссия Управления отмечает, что комиссия по осуществлению закупки при рассмотрении заявок участников закупки не ограничена в праве выявления дополнительной информации в целях определения соответствия участника установленным требованиям.</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Учитывая выявленные обстоятельства заключения представленного договора по результатам закупки, в которой Заявитель участвовал как лидер коллективного участника, заключивший соглашение о создании консорциума с иными партнерами, содержащее подтверждение намерения каждой из стороны соглашения выступить в качестве соисполнителей Контракта, заключенного по итогам конкурса или в рамках договоров субподряда, у комиссии по осуществлении закупки отсутствуют основания полагать, что представленный договор исполнен лично ООО «СТРОЙАРСЕНАЛ 22 ВЕК» в полном объеме без привлечения субподрядных организаций.</w:t>
      </w:r>
    </w:p>
    <w:p>
      <w:pPr>
        <w:pStyle w:val="Style5"/>
        <w:keepNext w:val="0"/>
        <w:keepLines w:val="0"/>
        <w:widowControl w:val="0"/>
        <w:shd w:val="clear" w:color="auto" w:fill="auto"/>
        <w:bidi w:val="0"/>
        <w:spacing w:before="0" w:after="40"/>
        <w:ind w:left="0" w:right="0" w:firstLine="700"/>
        <w:jc w:val="both"/>
      </w:pPr>
      <w:r>
        <w:rPr>
          <w:color w:val="000000"/>
          <w:spacing w:val="0"/>
          <w:w w:val="100"/>
          <w:position w:val="0"/>
          <w:shd w:val="clear" w:color="auto" w:fill="auto"/>
          <w:lang w:val="ru-RU" w:eastAsia="ru-RU" w:bidi="ru-RU"/>
        </w:rPr>
        <w:t xml:space="preserve">Вместе с тем Заявителем не представлено сведений, доказывающих обратное, а также подтверждающих обоснованность доводов жалобы и свидетельствующих о нарушении Заказчиком положений Закона о контрактной системе при рассмотрении </w:t>
      </w:r>
      <w:r>
        <w:rPr>
          <w:color w:val="000000"/>
          <w:spacing w:val="0"/>
          <w:w w:val="100"/>
          <w:position w:val="0"/>
          <w:shd w:val="clear" w:color="auto" w:fill="auto"/>
          <w:lang w:val="ru-RU" w:eastAsia="ru-RU" w:bidi="ru-RU"/>
        </w:rPr>
        <w:t>заявок участников закупки.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статьи 31 Закона о контрактной системе;</w:t>
      </w:r>
    </w:p>
    <w:p>
      <w:pPr>
        <w:pStyle w:val="Style5"/>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пунктом 5 части 1 ст.43 Закона о контрактной системе);</w:t>
      </w:r>
    </w:p>
    <w:p>
      <w:pPr>
        <w:pStyle w:val="Style5"/>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9"/>
        </w:numPr>
        <w:shd w:val="clear" w:color="auto" w:fill="auto"/>
        <w:tabs>
          <w:tab w:pos="1770"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5"/>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у комиссии по осуществлению закупок Заказчика имелись основания для признания заявки Заявителя не соответствующей требованиям законодательства о контрактной системе, ввиду чего решение об отклонении заявки Заявителя является правомерным.</w:t>
      </w:r>
      <w:r>
        <w:br w:type="page"/>
      </w:r>
    </w:p>
    <w:p>
      <w:pPr>
        <w:pStyle w:val="Style5"/>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 Признать жалобу ООО «СТРОЙАРСЕНАЛ 22 ВЕК» на действия комиссии по осуществлению закупок ГБУК г. Москвы «ПКИО «Сокольники» необоснованной.</w:t>
      </w:r>
    </w:p>
    <w:p>
      <w:pPr>
        <w:pStyle w:val="Style5"/>
        <w:keepNext w:val="0"/>
        <w:keepLines w:val="0"/>
        <w:widowControl w:val="0"/>
        <w:shd w:val="clear" w:color="auto" w:fill="auto"/>
        <w:bidi w:val="0"/>
        <w:spacing w:before="0" w:after="300"/>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62" w:right="531" w:bottom="1085" w:left="1101" w:header="0" w:footer="3" w:gutter="0"/>
          <w:cols w:space="720"/>
          <w:noEndnote/>
          <w:rtlGutter w:val="0"/>
          <w:docGrid w:linePitch="360"/>
        </w:sectPr>
      </w:pPr>
      <w:r>
        <mc:AlternateContent>
          <mc:Choice Requires="wps">
            <w:drawing>
              <wp:anchor distT="139700" distB="219075" distL="0" distR="0" simplePos="0" relativeHeight="125829386" behindDoc="0" locked="0" layoutInCell="1" allowOverlap="1">
                <wp:simplePos x="0" y="0"/>
                <wp:positionH relativeFrom="page">
                  <wp:posOffset>732790</wp:posOffset>
                </wp:positionH>
                <wp:positionV relativeFrom="paragraph">
                  <wp:posOffset>139700</wp:posOffset>
                </wp:positionV>
                <wp:extent cx="1896110" cy="250190"/>
                <wp:wrapTopAndBottom/>
                <wp:docPr id="29" name="Shape 29"/>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5" type="#_x0000_t202" style="position:absolute;margin-left:57.700000000000003pt;margin-top:11.pt;width:149.30000000000001pt;height:19.699999999999999pt;z-index:-125829367;mso-wrap-distance-left:0;mso-wrap-distance-top:11.pt;mso-wrap-distance-right:0;mso-wrap-distance-bottom:17.2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9550" distB="0" distL="0" distR="1789430" simplePos="0" relativeHeight="125829388" behindDoc="0" locked="0" layoutInCell="1" allowOverlap="1">
            <wp:simplePos x="0" y="0"/>
            <wp:positionH relativeFrom="page">
              <wp:posOffset>3103880</wp:posOffset>
            </wp:positionH>
            <wp:positionV relativeFrom="paragraph">
              <wp:posOffset>209550</wp:posOffset>
            </wp:positionV>
            <wp:extent cx="353695" cy="40259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3521710</wp:posOffset>
                </wp:positionH>
                <wp:positionV relativeFrom="paragraph">
                  <wp:posOffset>300990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30000000000001pt;margin-top:23.699999999999999pt;width:135.84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19075" distL="0" distR="0" simplePos="0" relativeHeight="125829389" behindDoc="0" locked="0" layoutInCell="1" allowOverlap="1">
                <wp:simplePos x="0" y="0"/>
                <wp:positionH relativeFrom="page">
                  <wp:posOffset>6182360</wp:posOffset>
                </wp:positionH>
                <wp:positionV relativeFrom="paragraph">
                  <wp:posOffset>139700</wp:posOffset>
                </wp:positionV>
                <wp:extent cx="1029970" cy="250190"/>
                <wp:wrapTopAndBottom/>
                <wp:docPr id="35" name="Shape 35"/>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61" type="#_x0000_t202" style="position:absolute;margin-left:486.80000000000001pt;margin-top:11.pt;width:81.100000000000009pt;height:19.699999999999999pt;z-index:-125829364;mso-wrap-distance-left:0;mso-wrap-distance-top:11.pt;mso-wrap-distance-right:0;mso-wrap-distance-bottom:17.2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pPr>
      <w:r>
        <w:rPr>
          <w:b/>
          <w:bCs/>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 xml:space="preserve">КАЗАРИН </w:t>
      </w:r>
      <w:r>
        <w:rPr>
          <w:color w:val="000000"/>
          <w:spacing w:val="0"/>
          <w:w w:val="100"/>
          <w:position w:val="0"/>
          <w:shd w:val="clear" w:color="auto" w:fill="auto"/>
          <w:lang w:val="ru-RU" w:eastAsia="ru-RU" w:bidi="ru-RU"/>
        </w:rPr>
        <w:t xml:space="preserve">СЕРГЕЙ </w:t>
      </w:r>
      <w:r>
        <w:rPr>
          <w:b/>
          <w:bCs/>
          <w:color w:val="000000"/>
          <w:spacing w:val="0"/>
          <w:w w:val="100"/>
          <w:position w:val="0"/>
          <w:shd w:val="clear" w:color="auto" w:fill="auto"/>
          <w:lang w:val="ru-RU" w:eastAsia="ru-RU" w:bidi="ru-RU"/>
        </w:rPr>
        <w:t>ИГОРЕВИЧ</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 xml:space="preserve">000590946031СЕ073ВЕ5С5О6ЕЕ7501 </w:t>
      </w:r>
      <w:r>
        <w:rPr>
          <w:spacing w:val="0"/>
          <w:w w:val="100"/>
          <w:position w:val="0"/>
          <w:shd w:val="clear" w:color="auto" w:fill="auto"/>
          <w:lang w:val="ru-RU" w:eastAsia="ru-RU" w:bidi="ru-RU"/>
        </w:rPr>
        <w:t>0760</w:t>
      </w:r>
    </w:p>
    <w:p>
      <w:pPr>
        <w:pStyle w:val="Style27"/>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0" w:line="240" w:lineRule="auto"/>
        <w:ind w:left="0" w:right="0" w:firstLine="0"/>
        <w:jc w:val="right"/>
      </w:pPr>
      <w:r>
        <w:drawing>
          <wp:anchor distT="0" distB="0" distL="114300" distR="1921510" simplePos="0" relativeHeight="125829391" behindDoc="0" locked="0" layoutInCell="1" allowOverlap="1">
            <wp:simplePos x="0" y="0"/>
            <wp:positionH relativeFrom="page">
              <wp:posOffset>3128645</wp:posOffset>
            </wp:positionH>
            <wp:positionV relativeFrom="paragraph">
              <wp:posOffset>76200</wp:posOffset>
            </wp:positionV>
            <wp:extent cx="311150" cy="35941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1"/>
                    <a:stretch/>
                  </pic:blipFill>
                  <pic:spPr>
                    <a:xfrm>
                      <a:ext cx="311150" cy="3594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3521710</wp:posOffset>
                </wp:positionH>
                <wp:positionV relativeFrom="paragraph">
                  <wp:posOffset>146050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30000000000001pt;margin-top:11.5pt;width:135.84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pPr>
      <w:r>
        <w:rPr>
          <w:b/>
          <w:bCs/>
          <w:color w:val="E8E8E8"/>
          <w:spacing w:val="0"/>
          <w:w w:val="100"/>
          <w:position w:val="0"/>
          <w:shd w:val="clear" w:color="auto" w:fill="auto"/>
          <w:lang w:val="ru-RU" w:eastAsia="ru-RU" w:bidi="ru-RU"/>
        </w:rPr>
        <w:t xml:space="preserve">СВЕДЕНИЯ </w:t>
      </w:r>
      <w:r>
        <w:rPr>
          <w:b/>
          <w:bCs/>
          <w:color w:val="FFFFFF"/>
          <w:spacing w:val="0"/>
          <w:w w:val="100"/>
          <w:position w:val="0"/>
          <w:shd w:val="clear" w:color="auto" w:fill="auto"/>
          <w:lang w:val="ru-RU" w:eastAsia="ru-RU" w:bidi="ru-RU"/>
        </w:rPr>
        <w:t>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Гугава Эдуард Звиадович</w:t>
      </w:r>
    </w:p>
    <w:p>
      <w:pPr>
        <w:pStyle w:val="Style2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008АВСВВ2401</w:t>
      </w:r>
      <w:r>
        <w:rPr>
          <w:color w:val="484848"/>
          <w:spacing w:val="0"/>
          <w:w w:val="100"/>
          <w:position w:val="0"/>
          <w:shd w:val="clear" w:color="auto" w:fill="auto"/>
          <w:lang w:val="ru-RU" w:eastAsia="ru-RU" w:bidi="ru-RU"/>
        </w:rPr>
        <w:t>В04705С4В0130528702ЕАЕ</w:t>
      </w:r>
    </w:p>
    <w:p>
      <w:pPr>
        <w:pStyle w:val="Style27"/>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04.10.2025</w:t>
      </w:r>
    </w:p>
    <w:p>
      <w:pPr>
        <w:pStyle w:val="Style5"/>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92" behindDoc="0" locked="0" layoutInCell="1" allowOverlap="1">
            <wp:simplePos x="0" y="0"/>
            <wp:positionH relativeFrom="page">
              <wp:posOffset>3104515</wp:posOffset>
            </wp:positionH>
            <wp:positionV relativeFrom="paragraph">
              <wp:posOffset>63500</wp:posOffset>
            </wp:positionV>
            <wp:extent cx="353695" cy="53657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3568065</wp:posOffset>
                </wp:positionH>
                <wp:positionV relativeFrom="paragraph">
                  <wp:posOffset>466090</wp:posOffset>
                </wp:positionV>
                <wp:extent cx="1280160" cy="100330"/>
                <wp:wrapNone/>
                <wp:docPr id="43" name="Shape 4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bCs/>
                                <w:color w:val="E8E8E8"/>
                                <w:spacing w:val="0"/>
                                <w:w w:val="100"/>
                                <w:position w:val="0"/>
                                <w:shd w:val="clear" w:color="auto" w:fill="auto"/>
                                <w:lang w:val="ru-RU" w:eastAsia="ru-RU" w:bidi="ru-RU"/>
                              </w:rPr>
                              <w:t xml:space="preserve">СВЕДЕНИЯ О СЕРТИФИКАТЕ </w:t>
                            </w:r>
                            <w:r>
                              <w:rPr>
                                <w:rFonts w:ascii="Arial" w:eastAsia="Arial" w:hAnsi="Arial" w:cs="Arial"/>
                                <w:b/>
                                <w:bCs/>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9" type="#_x0000_t202" style="position:absolute;margin-left:280.94999999999999pt;margin-top:36.700000000000003pt;width:100.8pt;height:7.9000000000000004pt;z-index:251657733;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bCs/>
                          <w:color w:val="E8E8E8"/>
                          <w:spacing w:val="0"/>
                          <w:w w:val="100"/>
                          <w:position w:val="0"/>
                          <w:shd w:val="clear" w:color="auto" w:fill="auto"/>
                          <w:lang w:val="ru-RU" w:eastAsia="ru-RU" w:bidi="ru-RU"/>
                        </w:rPr>
                        <w:t xml:space="preserve">СВЕДЕНИЯ О СЕРТИФИКАТЕ </w:t>
                      </w:r>
                      <w:r>
                        <w:rPr>
                          <w:rFonts w:ascii="Arial" w:eastAsia="Arial" w:hAnsi="Arial" w:cs="Arial"/>
                          <w:b/>
                          <w:bCs/>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3522345</wp:posOffset>
                </wp:positionH>
                <wp:positionV relativeFrom="paragraph">
                  <wp:posOffset>154940</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77.35000000000002pt;margin-top:12.200000000000001pt;width:135.84999999999999pt;height:20.15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 xml:space="preserve">Челнова Олеся </w:t>
      </w:r>
      <w:r>
        <w:rPr>
          <w:color w:val="000000"/>
          <w:spacing w:val="0"/>
          <w:w w:val="100"/>
          <w:position w:val="0"/>
          <w:shd w:val="clear" w:color="auto" w:fill="auto"/>
          <w:lang w:val="ru-RU" w:eastAsia="ru-RU" w:bidi="ru-RU"/>
        </w:rPr>
        <w:t>Антоновна</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218С2Е7ОЗЕ7Е88445А841АСЕ73Е4О187</w:t>
      </w:r>
    </w:p>
    <w:p>
      <w:pPr>
        <w:pStyle w:val="Style27"/>
        <w:keepNext w:val="0"/>
        <w:keepLines w:val="0"/>
        <w:widowControl w:val="0"/>
        <w:shd w:val="clear" w:color="auto" w:fill="auto"/>
        <w:bidi w:val="0"/>
        <w:spacing w:before="0" w:after="2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04.07.2025</w:t>
      </w:r>
    </w:p>
    <w:p>
      <w:pPr>
        <w:pStyle w:val="Style3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Исп.Гугава Э.З.</w:t>
      </w:r>
    </w:p>
    <w:p>
      <w:pPr>
        <w:pStyle w:val="Style3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тел.495-784-75-05 вн.</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10147300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2024-46564</w:t>
                          </w:r>
                        </w:p>
                      </w:txbxContent>
                    </wps:txbx>
                    <wps:bodyPr wrap="none" lIns="0" tIns="0" rIns="0" bIns="0">
                      <a:spAutoFit/>
                    </wps:bodyPr>
                  </wps:wsp>
                </a:graphicData>
              </a:graphic>
            </wp:anchor>
          </w:drawing>
        </mc:Choice>
        <mc:Fallback>
          <w:pict>
            <v:shape id="_x0000_s1035" type="#_x0000_t202" style="position:absolute;margin-left:57.pt;margin-top:799.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2024-46564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10217150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2024-46564</w:t>
                          </w:r>
                        </w:p>
                      </w:txbxContent>
                    </wps:txbx>
                    <wps:bodyPr wrap="none" lIns="0" tIns="0" rIns="0" bIns="0">
                      <a:spAutoFit/>
                    </wps:bodyPr>
                  </wps:wsp>
                </a:graphicData>
              </a:graphic>
            </wp:anchor>
          </w:drawing>
        </mc:Choice>
        <mc:Fallback>
          <w:pict>
            <v:shape id="_x0000_s1037" type="#_x0000_t202" style="position:absolute;margin-left:57.pt;margin-top:804.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2024-46564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723900</wp:posOffset>
              </wp:positionH>
              <wp:positionV relativeFrom="page">
                <wp:posOffset>10147300</wp:posOffset>
              </wp:positionV>
              <wp:extent cx="725170" cy="100330"/>
              <wp:wrapNone/>
              <wp:docPr id="23" name="Shape 2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2024-46564</w:t>
                          </w:r>
                        </w:p>
                      </w:txbxContent>
                    </wps:txbx>
                    <wps:bodyPr wrap="none" lIns="0" tIns="0" rIns="0" bIns="0">
                      <a:spAutoFit/>
                    </wps:bodyPr>
                  </wps:wsp>
                </a:graphicData>
              </a:graphic>
            </wp:anchor>
          </w:drawing>
        </mc:Choice>
        <mc:Fallback>
          <w:pict>
            <v:shape id="_x0000_s1049" type="#_x0000_t202" style="position:absolute;margin-left:57.pt;margin-top:799.pt;width:57.100000000000001pt;height:7.9000000000000004pt;z-index:-18874404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2024-46564</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723900</wp:posOffset>
              </wp:positionH>
              <wp:positionV relativeFrom="page">
                <wp:posOffset>10147300</wp:posOffset>
              </wp:positionV>
              <wp:extent cx="725170" cy="100330"/>
              <wp:wrapNone/>
              <wp:docPr id="27" name="Shape 2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2024-46564</w:t>
                          </w:r>
                        </w:p>
                      </w:txbxContent>
                    </wps:txbx>
                    <wps:bodyPr wrap="none" lIns="0" tIns="0" rIns="0" bIns="0">
                      <a:spAutoFit/>
                    </wps:bodyPr>
                  </wps:wsp>
                </a:graphicData>
              </a:graphic>
            </wp:anchor>
          </w:drawing>
        </mc:Choice>
        <mc:Fallback>
          <w:pict>
            <v:shape id="_x0000_s1053" type="#_x0000_t202" style="position:absolute;margin-left:57.pt;margin-top:799.pt;width:57.100000000000001pt;height:7.9000000000000004pt;z-index:-18874404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3928110</wp:posOffset>
              </wp:positionH>
              <wp:positionV relativeFrom="page">
                <wp:posOffset>372745</wp:posOffset>
              </wp:positionV>
              <wp:extent cx="57785" cy="103505"/>
              <wp:wrapNone/>
              <wp:docPr id="5" name="Shape 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30000000000001pt;margin-top:29.350000000000001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3899535</wp:posOffset>
              </wp:positionH>
              <wp:positionV relativeFrom="page">
                <wp:posOffset>476250</wp:posOffset>
              </wp:positionV>
              <wp:extent cx="128270" cy="103505"/>
              <wp:wrapNone/>
              <wp:docPr id="7" name="Shape 7"/>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7.05000000000001pt;margin-top:37.5pt;width:10.1pt;height:8.15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3928110</wp:posOffset>
              </wp:positionH>
              <wp:positionV relativeFrom="page">
                <wp:posOffset>372745</wp:posOffset>
              </wp:positionV>
              <wp:extent cx="57785" cy="103505"/>
              <wp:wrapNone/>
              <wp:docPr id="17" name="Shape 17"/>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30000000000001pt;margin-top:29.350000000000001pt;width:4.5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3928110</wp:posOffset>
              </wp:positionH>
              <wp:positionV relativeFrom="page">
                <wp:posOffset>372745</wp:posOffset>
              </wp:positionV>
              <wp:extent cx="57785" cy="103505"/>
              <wp:wrapNone/>
              <wp:docPr id="19" name="Shape 19"/>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30000000000001pt;margin-top:29.350000000000001pt;width:4.5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3899535</wp:posOffset>
              </wp:positionH>
              <wp:positionV relativeFrom="page">
                <wp:posOffset>476250</wp:posOffset>
              </wp:positionV>
              <wp:extent cx="128270" cy="103505"/>
              <wp:wrapNone/>
              <wp:docPr id="21" name="Shape 21"/>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7.05000000000001pt;margin-top:37.5pt;width:10.1pt;height:8.1500000000000004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3899535</wp:posOffset>
              </wp:positionH>
              <wp:positionV relativeFrom="page">
                <wp:posOffset>476250</wp:posOffset>
              </wp:positionV>
              <wp:extent cx="128270" cy="103505"/>
              <wp:wrapNone/>
              <wp:docPr id="25" name="Shape 25"/>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7.05000000000001pt;margin-top:37.5pt;width:10.1pt;height:8.1500000000000004pt;z-index:-18874404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4"/>
      <w:szCs w:val="34"/>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76767"/>
      <w:sz w:val="12"/>
      <w:szCs w:val="12"/>
      <w:u w:val="none"/>
    </w:rPr>
  </w:style>
  <w:style w:type="character" w:customStyle="1" w:styleId="CharStyle36">
    <w:name w:val="Основной текст (4)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3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6">
    <w:name w:val="Заголовок №1"/>
    <w:basedOn w:val="Normal"/>
    <w:link w:val="CharStyle17"/>
    <w:pPr>
      <w:widowControl w:val="0"/>
      <w:shd w:val="clear" w:color="auto" w:fill="auto"/>
      <w:spacing w:after="220"/>
      <w:ind w:firstLine="360"/>
      <w:outlineLvl w:val="0"/>
    </w:pPr>
    <w:rPr>
      <w:rFonts w:ascii="Arial" w:eastAsia="Arial" w:hAnsi="Arial" w:cs="Arial"/>
      <w:b w:val="0"/>
      <w:bCs w:val="0"/>
      <w:i w:val="0"/>
      <w:iCs w:val="0"/>
      <w:smallCaps w:val="0"/>
      <w:strike w:val="0"/>
      <w:sz w:val="34"/>
      <w:szCs w:val="34"/>
      <w:u w:val="none"/>
    </w:rPr>
  </w:style>
  <w:style w:type="paragraph" w:customStyle="1" w:styleId="Style22">
    <w:name w:val="Подпись к картинке"/>
    <w:basedOn w:val="Normal"/>
    <w:link w:val="CharStyle2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7">
    <w:name w:val="Основной текст (2)"/>
    <w:basedOn w:val="Normal"/>
    <w:link w:val="CharStyle28"/>
    <w:pPr>
      <w:widowControl w:val="0"/>
      <w:shd w:val="clear" w:color="auto" w:fill="auto"/>
      <w:spacing w:after="40"/>
      <w:ind w:left="3820"/>
    </w:pPr>
    <w:rPr>
      <w:rFonts w:ascii="Arial" w:eastAsia="Arial" w:hAnsi="Arial" w:cs="Arial"/>
      <w:b w:val="0"/>
      <w:bCs w:val="0"/>
      <w:i w:val="0"/>
      <w:iCs w:val="0"/>
      <w:smallCaps w:val="0"/>
      <w:strike w:val="0"/>
      <w:color w:val="676767"/>
      <w:sz w:val="12"/>
      <w:szCs w:val="12"/>
      <w:u w:val="none"/>
    </w:rPr>
  </w:style>
  <w:style w:type="paragraph" w:customStyle="1" w:styleId="Style35">
    <w:name w:val="Основной текст (4)"/>
    <w:basedOn w:val="Normal"/>
    <w:link w:val="CharStyle36"/>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header" Target="header7.xml"/><Relationship Id="rId18" Type="http://schemas.openxmlformats.org/officeDocument/2006/relationships/footer" Target="footer7.xml"/><Relationship Id="rId19" Type="http://schemas.openxmlformats.org/officeDocument/2006/relationships/image" Target="media/image1.jpeg"/><Relationship Id="rId20" Type="http://schemas.openxmlformats.org/officeDocument/2006/relationships/image" Target="media/image1.jpeg" TargetMode="External"/><Relationship Id="rId21" Type="http://schemas.openxmlformats.org/officeDocument/2006/relationships/image" Target="media/image2.jpeg"/><Relationship Id="rId22" Type="http://schemas.openxmlformats.org/officeDocument/2006/relationships/image" Target="media/image2.jpeg" TargetMode="External"/><Relationship Id="rId23" Type="http://schemas.openxmlformats.org/officeDocument/2006/relationships/image" Target="media/image3.jpeg"/><Relationship Id="rId24" Type="http://schemas.openxmlformats.org/officeDocument/2006/relationships/image" Target="media/image3.jpeg" TargetMode="External"/></Relationships>
</file>