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40863/24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«Жилищник Тимирязевского района»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хакиркЁ11т@тай.ги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САО»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депднсот8ао@рпао.то8.ги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«ПФК Контур»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409" w:bottom="621" w:left="1269" w:header="0" w:footer="3" w:gutter="0"/>
          <w:cols w:num="2" w:space="105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9629497672@тш1.ги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9038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077/06/106-13111/2024 о нарушении</w:t>
        <w:br/>
        <w:t>законодательства о контрактной системе</w:t>
        <w:br/>
        <w:t>30.09.2024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6794" w:val="left"/>
          <w:tab w:pos="904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</w:t>
        <w:tab/>
        <w:t>государственных</w:t>
        <w:tab/>
        <w:t>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Леоновой,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700" w:val="left"/>
          <w:tab w:pos="4881" w:val="left"/>
          <w:tab w:pos="67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 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М.В.Сорбучевой,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САО»: Е.А. Иванниковой (по доверенности от 09.01.2024 №Д-7-9/24),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«ПФК Контур»: А.А. Маковецкого (по доверенности от 24.09.2024 №б/н),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ГБУ «Жилищник Тимирязевского района», о времени и порядке заседания Комиссии Управления уведомлены надлежащим образом посредством Единой информационной системы,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«ПФК Контур» (далее — Заявитель) на действия ГБУ «Жилищник Тимирязевского района» (далее — Заказчик) при проведении электронного аукциона на право заключения государственного контракта на оказание услуг по ремонту средств малой механизации в 2024 году (Закупка № 0373200018824001010)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нужд» (далее -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Заявителя участникам закупки не представляется возможным однозначно определить объект закупки поскольку, в наименовании объекта закупки такой объект определен как «ремонт средств малой механизации», ОКПД2 установлен 45.20.21.217 «Услуги по ремонту деталей», при этом расчетами сметной документации не предусмотрены услуги и работы по ремонту расчет, также список подобных услуг отсутствует в Приложении № 3 к контракту «Перечень цен единиц услуг», также не позволяет однозначно определить объект закупки и название Приложения 5 к Техническому заданию - «Перечень запчастей и материалов, планируемых к использованию при оказании услуг по техническому обслуживанию и (или) текущему ремонту грузовых автомобилей и спецтехники», поскольку наименование данного приложения не соотносится с объектом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также указывает на то, что Приложение 5 к Техническому заданию «Перечень запчастей и материалов, планируемых к использованию при оказании услуг по техническому обслуживанию и (или) текущему ремонту грузовых автомобилей и спецтехники» имеет отсылку на внешний файл. Опубликованные в составе извещения документы содержат файл «Приложение к ТЗ», однако данный документ обозначен Заказчиком как Приложение 1 к Техническому заданию, что вводит участников в заблуждение, поскольку Приложение 1 к Техническому заданию наличествует в его составе, но называется «Перечень объектов закупки».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Заявитель в составе жалобы указывает на то, что в составе извещения, в том числе проекте контракта и техническом задание, отсутствуют наименование услуг, наименование, марки, модель техники, подлежащей ремонту, не указан каталожный номер/артикул товара п. 2090 «Запчасти Арнольд» сметной документации, а также, что в приложение №1 к техническому заданию включены как товары однозначно не соотносящиеся со средствами малой механизации (футболки, куртки, брюки), так и товары без указания наименований на русском языке, что не позволяет однозначно определить потребность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Заказчиком не отражена цена запасных, например, п. 521 «Колесо в сборе бежевое 13.0x5.0x6.0:Р^А8» и п. 2090 «Запчасти Арнольд» как 0 рублей 00 копеек, что затрудняет формирование предложения.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1 ст. 49 Закона о контрактной системе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319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5" w:right="537" w:bottom="742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п. 9 ч. 1 ст. 42 Закона о контрактной системе извещение об осуществлении закупки должно содержать информацию, в том числе, о начальной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2024-45843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(максимальной) цене контракта (цене отдельных этапов исполнения контракта, если проектом контракта предусмотрены такие этапы), источник финансирования, наименование валюты в соответствии с общероссийским классификатором валют. В случае, предусмотренном ч.24 ст.22 Закона о контрактной системе, указываются начальная цена единицы товара, работы, услуги, а также начальная сумма цен указанных единиц и максимальное значение цены контракта. В случаях, установленных Правительством Российской Федерации в соответствии с ч.2 ст.34 Закона о контрактной системе, указываются ориентировочное значение цены контракта либо формула цены и максимальное.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2 ч. 2 ст. 42 Закона о контрактной системе извещение об осуществлении закупки, если иное не предусмотрено Законом о контрактной системе, должно содержать, в том числе, обоснование начальной (максимальной) цены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п.1, п.3 ч.2 ст.42 Закона о контрактной системе, извещение об осуществлении закупки должно содержать электронные документы с описанием объекта закупки в соответствии со ст.33 Закона о контрактной системе, с требованиями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извещения об осуществлении электронного аукциона размещены электронные документы «Расчет НМЦК(Д)», содержащие следующую информацию, в частности:</w:t>
      </w:r>
    </w:p>
    <w:tbl>
      <w:tblPr>
        <w:tblOverlap w:val="never"/>
        <w:jc w:val="center"/>
        <w:tblLayout w:type="fixed"/>
      </w:tblPr>
      <w:tblGrid>
        <w:gridCol w:w="600"/>
        <w:gridCol w:w="3293"/>
        <w:gridCol w:w="1349"/>
        <w:gridCol w:w="581"/>
        <w:gridCol w:w="494"/>
        <w:gridCol w:w="941"/>
        <w:gridCol w:w="902"/>
        <w:gridCol w:w="898"/>
        <w:gridCol w:w="1162"/>
      </w:tblGrid>
      <w:tr>
        <w:trPr>
          <w:trHeight w:val="82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521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Колесо в сборе бежевое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13.0х5.0хб.0^А8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634-04101- св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0,00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2090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Запчасти Арнольд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0,00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2220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Футболка, р.1.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6051-Х4- 0150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990,00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1 009,80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970,20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990,00</w:t>
            </w:r>
          </w:p>
        </w:tc>
      </w:tr>
      <w:tr>
        <w:trPr>
          <w:trHeight w:val="57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2380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САКВиКЕТОК-А88У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15004-0822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шт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36 699,16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37 433,14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35 965,18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36 699,16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указанных электронных документах отсутствуют услуги по ремонту средств малой механизации.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свою очередь, Комиссией Управления также определено, что Приложением №1 к Техническому заданию установлен перечень объектов закупки, в частности, определены виды спецтехники: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«Газонокосилка несамоходная; Кусторез; Снегопогрузчик; Погрузчик; Компрессор; Снегоочиститель шнекороторный; Снегоуборщик; Сучкорез; Бензогенераторная установка; Нарезчик швов; Газонокосилка самоходная; Измельчитель пней»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перечень спецтехники, подлежащей техническому обслуживанию и (или) текущему ремонту в Приложение 3 к Техническому заданию, представлен следующим образом: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Приложение 3 к Техническому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чагаинш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Переча» спецгехввкв, подлежащей техническому обслужжмджю в (вяж) текущему ремонту</w:t>
      </w:r>
    </w:p>
    <w:tbl>
      <w:tblPr>
        <w:tblOverlap w:val="never"/>
        <w:jc w:val="center"/>
        <w:tblLayout w:type="fixed"/>
      </w:tblPr>
      <w:tblGrid>
        <w:gridCol w:w="504"/>
        <w:gridCol w:w="1930"/>
        <w:gridCol w:w="1915"/>
        <w:gridCol w:w="979"/>
        <w:gridCol w:w="974"/>
        <w:gridCol w:w="970"/>
        <w:gridCol w:w="974"/>
        <w:gridCol w:w="1474"/>
      </w:tblGrid>
      <w:tr>
        <w:trPr>
          <w:trHeight w:val="89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Ж дйт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smallCaps/>
                <w:color w:val="000000"/>
                <w:spacing w:val="0"/>
                <w:w w:val="100"/>
                <w:position w:val="0"/>
                <w:sz w:val="14"/>
                <w:szCs w:val="14"/>
                <w:u w:val="single"/>
                <w:shd w:val="clear" w:color="auto" w:fill="auto"/>
                <w:lang w:val="ru-RU" w:eastAsia="ru-RU" w:bidi="ru-RU"/>
              </w:rPr>
              <w:t>Наимсзованис тсхдикл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500" w:right="0" w:firstLine="44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модель, модкфкищия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ru-RU" w:eastAsia="ru-RU" w:bidi="ru-RU"/>
              </w:rPr>
              <w:t xml:space="preserve">Государствен жый номер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u w:val="single"/>
                <w:shd w:val="clear" w:color="auto" w:fill="auto"/>
                <w:lang w:val="ru-RU" w:eastAsia="ru-RU" w:bidi="ru-RU"/>
              </w:rPr>
              <w:t>(ПрН ЖпнчиЯ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u w:val="single"/>
                <w:shd w:val="clear" w:color="auto" w:fill="auto"/>
                <w:vertAlign w:val="superscript"/>
                <w:lang w:val="ru-RU" w:eastAsia="ru-RU" w:bidi="ru-RU"/>
              </w:rPr>
              <w:t>-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u w:val="single"/>
                <w:shd w:val="clear" w:color="auto" w:fill="auto"/>
                <w:lang w:val="ru-RU" w:eastAsia="ru-RU" w:bidi="ru-RU"/>
              </w:rPr>
              <w:t>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Год выпуска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Пробег (км)/вар«ботк а (моточком) в» дату (при икпжчд)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Технических;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(описание)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Аналогично представлены перечь спецификации оказываемых услуг и перечень запчастей и материалов, планируемых к использованию при оказании закупаемых услуг, представленных в Приложениях 4, 5 к Техническому заданию.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уполномоченного учреждения согласился с вышеуказанными доводами жалобы, при этом пояснил, что при формировании извещения об осуществлении закупки Заказчиком были допущены технические ошибки.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чем, для устранения указанных ошибок, Заказчиком было размещено Извещение об отмене определения поставщика (подрядчика, исполнителя) от 24.09.2024 №ИО1.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Заказчиком п.1 ч.1 ст.33, п.9 ч.1 ст.42 Закона о контрактной системе, что содержит признаки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«ПФК Контур» на действия ГБУ «Жилищник Тимирязевского района»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п.1 ч.1 ст.33, п.9 ч.1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2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об устранении нарушений законодательства о контрактной системе Заказчику не выдавать, поскольку закупка отменена посредством размещения извещения об отмене определения поставщика подрядчика, исполнителя).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7" w:val="left"/>
        </w:tabs>
        <w:bidi w:val="0"/>
        <w:spacing w:before="0" w:after="20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58" w:right="535" w:bottom="1211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870" distL="0" distR="0" simplePos="0" relativeHeight="125829378" behindDoc="0" locked="0" layoutInCell="1" allowOverlap="1">
                <wp:simplePos x="0" y="0"/>
                <wp:positionH relativeFrom="page">
                  <wp:posOffset>730250</wp:posOffset>
                </wp:positionH>
                <wp:positionV relativeFrom="paragraph">
                  <wp:posOffset>330200</wp:posOffset>
                </wp:positionV>
                <wp:extent cx="185039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5pt;margin-top:26.pt;width:145.70000000000002pt;height:19.900000000000002pt;z-index:-125829375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6400" distB="0" distL="0" distR="1789430" simplePos="0" relativeHeight="125829380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406400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3564890</wp:posOffset>
                </wp:positionH>
                <wp:positionV relativeFrom="paragraph">
                  <wp:posOffset>805815</wp:posOffset>
                </wp:positionV>
                <wp:extent cx="1283335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4E4E4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E4E4E4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0.69999999999999pt;margin-top:63.45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4E4E4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color w:val="E4E4E4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3519170</wp:posOffset>
                </wp:positionH>
                <wp:positionV relativeFrom="paragraph">
                  <wp:posOffset>494665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10000000000002pt;margin-top:38.95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870" distL="0" distR="0" simplePos="0" relativeHeight="125829381" behindDoc="0" locked="0" layoutInCell="1" allowOverlap="1">
                <wp:simplePos x="0" y="0"/>
                <wp:positionH relativeFrom="page">
                  <wp:posOffset>6082665</wp:posOffset>
                </wp:positionH>
                <wp:positionV relativeFrom="paragraph">
                  <wp:posOffset>330200</wp:posOffset>
                </wp:positionV>
                <wp:extent cx="113411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94999999999999pt;margin-top:26.pt;width:89.299999999999997pt;height:19.900000000000002pt;z-index:-125829372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00Е5ЕС2ЕА3399576105А45С83ЕВ9ЕЕО0Е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07.05.2024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по 31.07.2025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280" w:right="0" w:firstLine="0"/>
        <w:jc w:val="left"/>
      </w:pPr>
      <w:r>
        <w:drawing>
          <wp:anchor distT="0" distB="0" distL="114300" distR="1921510" simplePos="0" relativeHeight="125829383" behindDoc="0" locked="0" layoutInCell="1" allowOverlap="1">
            <wp:simplePos x="0" y="0"/>
            <wp:positionH relativeFrom="page">
              <wp:posOffset>3126105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3519170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10000000000002pt;margin-top:11.7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Леонова</w:t>
      </w:r>
    </w:p>
    <w:p>
      <w:pPr>
        <w:pStyle w:val="Style3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E4E4E4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F7F7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Леонова Алена Альбертовна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009389Е972АА570Е22Э19Е7С5Ю28В0906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20.09.2024 </w:t>
      </w:r>
      <w:r>
        <w:rPr>
          <w:color w:val="7F7F7F"/>
          <w:spacing w:val="0"/>
          <w:w w:val="100"/>
          <w:position w:val="0"/>
          <w:shd w:val="clear" w:color="auto" w:fill="auto"/>
          <w:lang w:val="ru-RU" w:eastAsia="ru-RU" w:bidi="ru-RU"/>
        </w:rPr>
        <w:t>по 14.12.2025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980"/>
        <w:jc w:val="left"/>
      </w:pPr>
      <w:r>
        <w:drawing>
          <wp:anchor distT="0" distB="0" distL="114300" distR="1921510" simplePos="0" relativeHeight="125829384" behindDoc="0" locked="0" layoutInCell="1" allowOverlap="1">
            <wp:simplePos x="0" y="0"/>
            <wp:positionH relativeFrom="page">
              <wp:posOffset>3126105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3519170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10000000000002pt;margin-top:11.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3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</w:t>
      </w:r>
      <w:r>
        <w:rPr>
          <w:color w:val="E4E4E4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О </w:t>
      </w: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E4E4E4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ЭП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00ЕЗВ71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218Р970424В4Э41С7997434Е304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right="0" w:firstLine="0"/>
        <w:jc w:val="left"/>
      </w:pPr>
      <w:r>
        <w:rPr>
          <w:color w:val="7F7F7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19.09.2024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F7F7F"/>
          <w:spacing w:val="0"/>
          <w:w w:val="100"/>
          <w:position w:val="0"/>
          <w:shd w:val="clear" w:color="auto" w:fill="auto"/>
          <w:lang w:val="ru-RU" w:eastAsia="ru-RU" w:bidi="ru-RU"/>
        </w:rPr>
        <w:t>13.12.2025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62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2024-45843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6.3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2024-45843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2024-45843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00000000000004pt;margin-top:794.70000000000005pt;width:56.899999999999999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2024-45843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407670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32.100000000000001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05000000000001pt;margin-top:37.5pt;width:4.5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8">
    <w:name w:val="Подпись к таблице_"/>
    <w:basedOn w:val="DefaultParagraphFont"/>
    <w:link w:val="Style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35">
    <w:name w:val="Основной текст (2)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color w:val="3B3B3B"/>
      <w:sz w:val="12"/>
      <w:szCs w:val="12"/>
      <w:u w:val="none"/>
    </w:rPr>
  </w:style>
  <w:style w:type="character" w:customStyle="1" w:styleId="CharStyle43">
    <w:name w:val="Основной текст (4)_"/>
    <w:basedOn w:val="DefaultParagraphFont"/>
    <w:link w:val="Style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7">
    <w:name w:val="Подпись к таблице"/>
    <w:basedOn w:val="Normal"/>
    <w:link w:val="CharStyle28"/>
    <w:pPr>
      <w:widowControl w:val="0"/>
      <w:shd w:val="clear" w:color="auto" w:fill="auto"/>
      <w:spacing w:line="26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34">
    <w:name w:val="Основной текст (2)"/>
    <w:basedOn w:val="Normal"/>
    <w:link w:val="CharStyle35"/>
    <w:pPr>
      <w:widowControl w:val="0"/>
      <w:shd w:val="clear" w:color="auto" w:fill="auto"/>
      <w:spacing w:after="40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B3B3B"/>
      <w:sz w:val="12"/>
      <w:szCs w:val="12"/>
      <w:u w:val="none"/>
    </w:rPr>
  </w:style>
  <w:style w:type="paragraph" w:customStyle="1" w:styleId="Style42">
    <w:name w:val="Основной текст (4)"/>
    <w:basedOn w:val="Normal"/>
    <w:link w:val="CharStyle4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