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5"/>
        <w:keepNext w:val="0"/>
        <w:keepLines w:val="0"/>
        <w:widowControl w:val="0"/>
        <w:shd w:val="clear" w:color="auto" w:fill="auto"/>
        <w:bidi w:val="0"/>
        <w:spacing w:before="0" w:after="160" w:line="240" w:lineRule="auto"/>
        <w:ind w:left="0" w:right="0" w:firstLine="640"/>
        <w:jc w:val="both"/>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е-тай: ю19(йТая.ао\.ги</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03.10.2024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ОШ/87</w:t>
      </w:r>
      <w:r>
        <w:rPr>
          <w:color w:val="000000"/>
          <w:spacing w:val="0"/>
          <w:w w:val="100"/>
          <w:position w:val="0"/>
          <w:u w:val="none"/>
          <w:shd w:val="clear" w:color="auto" w:fill="auto"/>
          <w:lang w:val="ru-RU" w:eastAsia="ru-RU" w:bidi="ru-RU"/>
        </w:rPr>
        <w:t>40/24</w:t>
      </w:r>
      <w:bookmarkEnd w:id="0"/>
    </w:p>
    <w:p>
      <w:pPr>
        <w:pStyle w:val="Style8"/>
        <w:keepNext w:val="0"/>
        <w:keepLines w:val="0"/>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от</w:t>
      </w:r>
    </w:p>
    <w:p>
      <w:pPr>
        <w:pStyle w:val="Style14"/>
        <w:keepNext/>
        <w:keepLines/>
        <w:widowControl w:val="0"/>
        <w:shd w:val="clear" w:color="auto" w:fill="auto"/>
        <w:bidi w:val="0"/>
        <w:spacing w:before="0" w:after="0" w:line="254" w:lineRule="auto"/>
        <w:ind w:left="0" w:right="0" w:firstLine="0"/>
        <w:jc w:val="left"/>
      </w:pPr>
      <w:bookmarkStart w:id="2" w:name="bookmark2"/>
      <w:r>
        <w:rPr>
          <w:color w:val="000000"/>
          <w:spacing w:val="0"/>
          <w:w w:val="100"/>
          <w:position w:val="0"/>
          <w:shd w:val="clear" w:color="auto" w:fill="auto"/>
          <w:lang w:val="ru-RU" w:eastAsia="ru-RU" w:bidi="ru-RU"/>
        </w:rPr>
        <w:t>Заявителю:</w:t>
      </w:r>
      <w:bookmarkEnd w:id="2"/>
    </w:p>
    <w:p>
      <w:pPr>
        <w:pStyle w:val="Style16"/>
        <w:keepNext w:val="0"/>
        <w:keepLines w:val="0"/>
        <w:widowControl w:val="0"/>
        <w:pBdr>
          <w:bottom w:val="single" w:sz="4" w:space="0" w:color="auto"/>
        </w:pBdr>
        <w:shd w:val="clear" w:color="auto" w:fill="auto"/>
        <w:bidi w:val="0"/>
        <w:spacing w:before="0" w:after="320" w:line="254" w:lineRule="auto"/>
        <w:ind w:left="0" w:right="0" w:firstLine="0"/>
        <w:jc w:val="left"/>
      </w:pPr>
      <w:r>
        <w:rPr>
          <w:color w:val="000000"/>
          <w:spacing w:val="0"/>
          <w:w w:val="100"/>
          <w:position w:val="0"/>
          <w:shd w:val="clear" w:color="auto" w:fill="auto"/>
          <w:lang w:val="ru-RU" w:eastAsia="ru-RU" w:bidi="ru-RU"/>
        </w:rPr>
        <w:t xml:space="preserve">ООО "Сорго" </w:t>
      </w:r>
      <w:r>
        <w:rPr>
          <w:color w:val="05017D"/>
          <w:spacing w:val="0"/>
          <w:w w:val="100"/>
          <w:position w:val="0"/>
          <w:u w:val="single"/>
          <w:shd w:val="clear" w:color="auto" w:fill="auto"/>
          <w:lang w:val="ru-RU" w:eastAsia="ru-RU" w:bidi="ru-RU"/>
        </w:rPr>
        <w:t>§огео2003@тЬох.ш</w:t>
      </w:r>
    </w:p>
    <w:p>
      <w:pPr>
        <w:pStyle w:val="Style14"/>
        <w:keepNext/>
        <w:keepLines/>
        <w:widowControl w:val="0"/>
        <w:shd w:val="clear" w:color="auto" w:fill="auto"/>
        <w:bidi w:val="0"/>
        <w:spacing w:before="0" w:after="0" w:line="259" w:lineRule="auto"/>
        <w:ind w:left="0" w:right="0" w:firstLine="0"/>
        <w:jc w:val="left"/>
      </w:pPr>
      <w:bookmarkStart w:id="4" w:name="bookmark4"/>
      <w:r>
        <w:rPr>
          <w:color w:val="000000"/>
          <w:spacing w:val="0"/>
          <w:w w:val="100"/>
          <w:position w:val="0"/>
          <w:shd w:val="clear" w:color="auto" w:fill="auto"/>
          <w:lang w:val="ru-RU" w:eastAsia="ru-RU" w:bidi="ru-RU"/>
        </w:rPr>
        <w:t>Субъектам контроля:</w:t>
      </w:r>
      <w:bookmarkEnd w:id="4"/>
    </w:p>
    <w:p>
      <w:pPr>
        <w:pStyle w:val="Style16"/>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Уполномоченному органу -</w:t>
      </w:r>
    </w:p>
    <w:p>
      <w:pPr>
        <w:pStyle w:val="Style16"/>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w:t>
      </w:r>
    </w:p>
    <w:p>
      <w:pPr>
        <w:pStyle w:val="Style19"/>
        <w:keepNext w:val="0"/>
        <w:keepLines w:val="0"/>
        <w:widowControl w:val="0"/>
        <w:shd w:val="clear" w:color="auto" w:fill="auto"/>
        <w:bidi w:val="0"/>
        <w:spacing w:before="0" w:after="0" w:line="305"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753" w:bottom="1183" w:left="1140" w:header="0" w:footer="3" w:gutter="0"/>
          <w:pgNumType w:start="1"/>
          <w:cols w:num="2" w:space="720" w:equalWidth="0">
            <w:col w:w="4310" w:space="950"/>
            <w:col w:w="4747"/>
          </w:cols>
          <w:noEndnote/>
          <w:titlePg/>
          <w:rtlGutter w:val="0"/>
          <w:docGrid w:linePitch="360"/>
        </w:sectPr>
      </w:pPr>
      <w:r>
        <w:rPr>
          <w:color w:val="000000"/>
          <w:spacing w:val="0"/>
          <w:w w:val="100"/>
          <w:position w:val="0"/>
          <w:shd w:val="clear" w:color="auto" w:fill="auto"/>
          <w:lang w:val="ru-RU" w:eastAsia="ru-RU" w:bidi="ru-RU"/>
        </w:rPr>
        <w:t>§Х@Г-19.П1</w:t>
      </w:r>
    </w:p>
    <w:p>
      <w:pPr>
        <w:widowControl w:val="0"/>
        <w:spacing w:line="150" w:lineRule="exact"/>
        <w:rPr>
          <w:sz w:val="12"/>
          <w:szCs w:val="12"/>
        </w:rPr>
      </w:pPr>
    </w:p>
    <w:p>
      <w:pPr>
        <w:widowControl w:val="0"/>
        <w:spacing w:line="1" w:lineRule="exact"/>
        <w:sectPr>
          <w:footnotePr>
            <w:pos w:val="pageBottom"/>
            <w:numFmt w:val="decimal"/>
            <w:numRestart w:val="continuous"/>
          </w:footnotePr>
          <w:type w:val="continuous"/>
          <w:pgSz w:w="11900" w:h="16840"/>
          <w:pgMar w:top="934" w:right="0" w:bottom="734" w:left="0" w:header="0" w:footer="3" w:gutter="0"/>
          <w:cols w:space="720"/>
          <w:noEndnote/>
          <w:rtlGutter w:val="0"/>
          <w:docGrid w:linePitch="360"/>
        </w:sectPr>
      </w:pPr>
    </w:p>
    <w:p>
      <w:pPr>
        <w:pStyle w:val="Style16"/>
        <w:keepNext w:val="0"/>
        <w:keepLines w:val="0"/>
        <w:widowControl w:val="0"/>
        <w:shd w:val="clear" w:color="auto" w:fill="auto"/>
        <w:bidi w:val="0"/>
        <w:spacing w:before="0" w:after="0" w:line="259" w:lineRule="auto"/>
        <w:ind w:left="1040" w:right="0" w:firstLine="0"/>
        <w:jc w:val="left"/>
      </w:pPr>
      <w:r>
        <mc:AlternateContent>
          <mc:Choice Requires="wps">
            <w:drawing>
              <wp:anchor distT="0" distB="185420" distL="114300" distR="114300" simplePos="0" relativeHeight="125829378" behindDoc="0" locked="0" layoutInCell="1" allowOverlap="1">
                <wp:simplePos x="0" y="0"/>
                <wp:positionH relativeFrom="page">
                  <wp:posOffset>766445</wp:posOffset>
                </wp:positionH>
                <wp:positionV relativeFrom="paragraph">
                  <wp:posOffset>127000</wp:posOffset>
                </wp:positionV>
                <wp:extent cx="2523490" cy="173990"/>
                <wp:wrapSquare wrapText="right"/>
                <wp:docPr id="8" name="Shape 8"/>
                <a:graphic xmlns:a="http://schemas.openxmlformats.org/drawingml/2006/main">
                  <a:graphicData uri="http://schemas.microsoft.com/office/word/2010/wordprocessingShape">
                    <wps:wsp>
                      <wps:cNvSpPr txBox="1"/>
                      <wps:spPr>
                        <a:xfrm>
                          <a:ext cx="2523490" cy="17399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по жалобе № 019/06/106-</w:t>
                            </w:r>
                          </w:p>
                        </w:txbxContent>
                      </wps:txbx>
                      <wps:bodyPr wrap="none" lIns="0" tIns="0" rIns="0" bIns="0">
                        <a:noAutoFit/>
                      </wps:bodyPr>
                    </wps:wsp>
                  </a:graphicData>
                </a:graphic>
              </wp:anchor>
            </w:drawing>
          </mc:Choice>
          <mc:Fallback>
            <w:pict>
              <v:shape id="_x0000_s1034" type="#_x0000_t202" style="position:absolute;margin-left:60.350000000000001pt;margin-top:10.pt;width:198.70000000000002pt;height:13.700000000000001pt;z-index:-125829375;mso-wrap-distance-left:9.pt;mso-wrap-distance-right:9.pt;mso-wrap-distance-bottom:14.6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по жалобе № 019/06/106-</w:t>
                      </w:r>
                    </w:p>
                  </w:txbxContent>
                </v:textbox>
                <w10:wrap type="square" side="right" anchorx="page"/>
              </v:shape>
            </w:pict>
          </mc:Fallback>
        </mc:AlternateContent>
      </w:r>
      <w:r>
        <mc:AlternateContent>
          <mc:Choice Requires="wps">
            <w:drawing>
              <wp:anchor distT="176530" distB="0" distL="132715" distR="927735" simplePos="0" relativeHeight="125829380" behindDoc="0" locked="0" layoutInCell="1" allowOverlap="1">
                <wp:simplePos x="0" y="0"/>
                <wp:positionH relativeFrom="page">
                  <wp:posOffset>784860</wp:posOffset>
                </wp:positionH>
                <wp:positionV relativeFrom="paragraph">
                  <wp:posOffset>303530</wp:posOffset>
                </wp:positionV>
                <wp:extent cx="1691640" cy="182880"/>
                <wp:wrapSquare wrapText="right"/>
                <wp:docPr id="10" name="Shape 10"/>
                <a:graphic xmlns:a="http://schemas.openxmlformats.org/drawingml/2006/main">
                  <a:graphicData uri="http://schemas.microsoft.com/office/word/2010/wordprocessingShape">
                    <wps:wsp>
                      <wps:cNvSpPr txBox="1"/>
                      <wps:spPr>
                        <a:xfrm>
                          <a:ext cx="1691640" cy="1828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1360/2024 (ООО "Сорго")</w:t>
                            </w:r>
                          </w:p>
                        </w:txbxContent>
                      </wps:txbx>
                      <wps:bodyPr wrap="none" lIns="0" tIns="0" rIns="0" bIns="0">
                        <a:noAutoFit/>
                      </wps:bodyPr>
                    </wps:wsp>
                  </a:graphicData>
                </a:graphic>
              </wp:anchor>
            </w:drawing>
          </mc:Choice>
          <mc:Fallback>
            <w:pict>
              <v:shape id="_x0000_s1036" type="#_x0000_t202" style="position:absolute;margin-left:61.800000000000004pt;margin-top:23.900000000000002pt;width:133.19999999999999pt;height:14.4pt;z-index:-125829373;mso-wrap-distance-left:10.450000000000001pt;mso-wrap-distance-top:13.9pt;mso-wrap-distance-right:73.049999999999997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1360/2024 (ООО "Сорго")</w:t>
                      </w:r>
                    </w:p>
                  </w:txbxContent>
                </v:textbox>
                <w10:wrap type="square" side="right" anchorx="page"/>
              </v:shape>
            </w:pict>
          </mc:Fallback>
        </mc:AlternateContent>
      </w:r>
      <w:r>
        <w:rPr>
          <w:color w:val="000000"/>
          <w:spacing w:val="0"/>
          <w:w w:val="100"/>
          <w:position w:val="0"/>
          <w:shd w:val="clear" w:color="auto" w:fill="auto"/>
          <w:lang w:val="ru-RU" w:eastAsia="ru-RU" w:bidi="ru-RU"/>
        </w:rPr>
        <w:t>Заказчику -</w:t>
      </w:r>
    </w:p>
    <w:p>
      <w:pPr>
        <w:pStyle w:val="Style16"/>
        <w:keepNext w:val="0"/>
        <w:keepLines w:val="0"/>
        <w:widowControl w:val="0"/>
        <w:shd w:val="clear" w:color="auto" w:fill="auto"/>
        <w:bidi w:val="0"/>
        <w:spacing w:before="0" w:after="300" w:line="259" w:lineRule="auto"/>
        <w:ind w:left="1040" w:right="0" w:firstLine="0"/>
        <w:jc w:val="left"/>
      </w:pPr>
      <w:r>
        <w:rPr>
          <w:color w:val="000000"/>
          <w:spacing w:val="0"/>
          <w:w w:val="100"/>
          <w:position w:val="0"/>
          <w:shd w:val="clear" w:color="auto" w:fill="auto"/>
          <w:lang w:val="ru-RU" w:eastAsia="ru-RU" w:bidi="ru-RU"/>
        </w:rPr>
        <w:t>ГБУЗ РХ "Аскизская центральная районная больница" асгЬ_ек@гатЫег.ти, 92086@Й81.ш</w:t>
      </w:r>
    </w:p>
    <w:p>
      <w:pPr>
        <w:pStyle w:val="Style16"/>
        <w:keepNext w:val="0"/>
        <w:keepLines w:val="0"/>
        <w:widowControl w:val="0"/>
        <w:shd w:val="clear" w:color="auto" w:fill="auto"/>
        <w:bidi w:val="0"/>
        <w:spacing w:before="0" w:after="0" w:line="262" w:lineRule="auto"/>
        <w:ind w:left="5300" w:right="0" w:firstLine="0"/>
        <w:jc w:val="left"/>
      </w:pPr>
      <w:r>
        <w:rPr>
          <w:color w:val="000000"/>
          <w:spacing w:val="0"/>
          <w:w w:val="100"/>
          <w:position w:val="0"/>
          <w:shd w:val="clear" w:color="auto" w:fill="auto"/>
          <w:lang w:val="ru-RU" w:eastAsia="ru-RU" w:bidi="ru-RU"/>
        </w:rPr>
        <w:t>Оператору электронной площадки -</w:t>
      </w:r>
    </w:p>
    <w:p>
      <w:pPr>
        <w:pStyle w:val="Style16"/>
        <w:keepNext w:val="0"/>
        <w:keepLines w:val="0"/>
        <w:widowControl w:val="0"/>
        <w:shd w:val="clear" w:color="auto" w:fill="auto"/>
        <w:bidi w:val="0"/>
        <w:spacing w:before="0" w:after="300" w:line="262" w:lineRule="auto"/>
        <w:ind w:left="5300" w:right="0" w:firstLine="0"/>
        <w:jc w:val="left"/>
      </w:pPr>
      <w:r>
        <w:rPr>
          <w:color w:val="000000"/>
          <w:spacing w:val="0"/>
          <w:w w:val="100"/>
          <w:position w:val="0"/>
          <w:shd w:val="clear" w:color="auto" w:fill="auto"/>
          <w:lang w:val="ru-RU" w:eastAsia="ru-RU" w:bidi="ru-RU"/>
        </w:rPr>
        <w:t xml:space="preserve">АО «Сбербанк-АСТ» </w:t>
      </w:r>
      <w:r>
        <w:rPr>
          <w:color w:val="05017D"/>
          <w:spacing w:val="0"/>
          <w:w w:val="100"/>
          <w:position w:val="0"/>
          <w:u w:val="single"/>
          <w:shd w:val="clear" w:color="auto" w:fill="auto"/>
          <w:lang w:val="ru-RU" w:eastAsia="ru-RU" w:bidi="ru-RU"/>
        </w:rPr>
        <w:t>ко@8ЬегЬапк-а81.ш</w:t>
      </w:r>
    </w:p>
    <w:p>
      <w:pPr>
        <w:pStyle w:val="Style16"/>
        <w:keepNext w:val="0"/>
        <w:keepLines w:val="0"/>
        <w:widowControl w:val="0"/>
        <w:shd w:val="clear" w:color="auto" w:fill="auto"/>
        <w:bidi w:val="0"/>
        <w:spacing w:before="0" w:after="300" w:line="262" w:lineRule="auto"/>
        <w:ind w:left="5300" w:right="0" w:firstLine="0"/>
        <w:jc w:val="left"/>
      </w:pPr>
      <w:r>
        <w:rPr>
          <w:color w:val="000000"/>
          <w:spacing w:val="0"/>
          <w:w w:val="100"/>
          <w:position w:val="0"/>
          <w:shd w:val="clear" w:color="auto" w:fill="auto"/>
          <w:lang w:val="ru-RU" w:eastAsia="ru-RU" w:bidi="ru-RU"/>
        </w:rPr>
        <w:t>Извещение № 0380200000124005792</w:t>
      </w:r>
    </w:p>
    <w:p>
      <w:pPr>
        <w:pStyle w:val="Style14"/>
        <w:keepNext/>
        <w:keepLines/>
        <w:widowControl w:val="0"/>
        <w:shd w:val="clear" w:color="auto" w:fill="auto"/>
        <w:bidi w:val="0"/>
        <w:spacing w:before="0"/>
        <w:ind w:left="0" w:right="0" w:firstLine="0"/>
        <w:jc w:val="center"/>
      </w:pPr>
      <w:bookmarkStart w:id="6" w:name="bookmark6"/>
      <w:r>
        <w:rPr>
          <w:color w:val="000000"/>
          <w:spacing w:val="0"/>
          <w:w w:val="100"/>
          <w:position w:val="0"/>
          <w:shd w:val="clear" w:color="auto" w:fill="auto"/>
          <w:lang w:val="ru-RU" w:eastAsia="ru-RU" w:bidi="ru-RU"/>
        </w:rPr>
        <w:t>РЕШЕНИЕ</w:t>
        <w:br/>
        <w:t>по жалобе № 019/06/106-1360/2024</w:t>
      </w:r>
      <w:bookmarkEnd w:id="6"/>
    </w:p>
    <w:p>
      <w:pPr>
        <w:pStyle w:val="Style16"/>
        <w:keepNext w:val="0"/>
        <w:keepLines w:val="0"/>
        <w:widowControl w:val="0"/>
        <w:shd w:val="clear" w:color="auto" w:fill="auto"/>
        <w:tabs>
          <w:tab w:pos="9048" w:val="left"/>
        </w:tabs>
        <w:bidi w:val="0"/>
        <w:spacing w:before="0" w:after="420"/>
        <w:ind w:left="0" w:right="0" w:firstLine="0"/>
        <w:jc w:val="left"/>
      </w:pPr>
      <w:r>
        <w:rPr>
          <w:color w:val="000000"/>
          <w:spacing w:val="0"/>
          <w:w w:val="100"/>
          <w:position w:val="0"/>
          <w:shd w:val="clear" w:color="auto" w:fill="auto"/>
          <w:lang w:val="ru-RU" w:eastAsia="ru-RU" w:bidi="ru-RU"/>
        </w:rPr>
        <w:t>«30» сентября 2024 года</w:t>
        <w:tab/>
        <w:t>г. Абакан</w:t>
      </w:r>
    </w:p>
    <w:p>
      <w:pPr>
        <w:pStyle w:val="Style22"/>
        <w:keepNext w:val="0"/>
        <w:keepLines w:val="0"/>
        <w:widowControl w:val="0"/>
        <w:shd w:val="clear" w:color="auto" w:fill="auto"/>
        <w:bidi w:val="0"/>
        <w:spacing w:before="0" w:after="0"/>
        <w:ind w:left="115" w:right="0" w:firstLine="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Хакасия по контролю закупок (далее - Комиссия) в составе:</w:t>
      </w:r>
    </w:p>
    <w:tbl>
      <w:tblPr>
        <w:tblOverlap w:val="never"/>
        <w:jc w:val="center"/>
        <w:tblLayout w:type="fixed"/>
      </w:tblPr>
      <w:tblGrid>
        <w:gridCol w:w="2986"/>
        <w:gridCol w:w="7378"/>
      </w:tblGrid>
      <w:tr>
        <w:trPr>
          <w:trHeight w:val="336"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Председателя комиссии:</w:t>
            </w:r>
          </w:p>
        </w:tc>
        <w:tc>
          <w:tcPr>
            <w:tcBorders/>
            <w:shd w:val="clear" w:color="auto" w:fill="auto"/>
            <w:vAlign w:val="top"/>
          </w:tcPr>
          <w:p>
            <w:pPr>
              <w:pStyle w:val="Style24"/>
              <w:keepNext w:val="0"/>
              <w:keepLines w:val="0"/>
              <w:widowControl w:val="0"/>
              <w:shd w:val="clear" w:color="auto" w:fill="auto"/>
              <w:bidi w:val="0"/>
              <w:spacing w:before="0" w:after="0" w:line="240" w:lineRule="auto"/>
              <w:ind w:left="2200" w:right="0" w:firstLine="0"/>
              <w:jc w:val="left"/>
            </w:pPr>
            <w:r>
              <w:rPr>
                <w:color w:val="000000"/>
                <w:spacing w:val="0"/>
                <w:w w:val="100"/>
                <w:position w:val="0"/>
                <w:shd w:val="clear" w:color="auto" w:fill="auto"/>
                <w:lang w:val="ru-RU" w:eastAsia="ru-RU" w:bidi="ru-RU"/>
              </w:rPr>
              <w:t>, врио руководителя управления,</w:t>
            </w:r>
          </w:p>
        </w:tc>
      </w:tr>
      <w:tr>
        <w:trPr>
          <w:trHeight w:val="1397" w:hRule="exact"/>
        </w:trPr>
        <w:tc>
          <w:tcPr>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bottom"/>
          </w:tcPr>
          <w:p>
            <w:pPr>
              <w:pStyle w:val="Style24"/>
              <w:keepNext w:val="0"/>
              <w:keepLines w:val="0"/>
              <w:widowControl w:val="0"/>
              <w:shd w:val="clear" w:color="auto" w:fill="auto"/>
              <w:bidi w:val="0"/>
              <w:spacing w:before="0" w:after="0" w:line="295" w:lineRule="auto"/>
              <w:ind w:left="200" w:right="0" w:firstLine="1620"/>
              <w:jc w:val="left"/>
            </w:pPr>
            <w:r>
              <w:rPr>
                <w:color w:val="000000"/>
                <w:spacing w:val="0"/>
                <w:w w:val="100"/>
                <w:position w:val="0"/>
                <w:shd w:val="clear" w:color="auto" w:fill="auto"/>
                <w:lang w:val="ru-RU" w:eastAsia="ru-RU" w:bidi="ru-RU"/>
              </w:rPr>
              <w:t>, начальника отдела контроля закупок и антимонопольного контроля органов власти,</w:t>
            </w:r>
          </w:p>
          <w:p>
            <w:pPr>
              <w:pStyle w:val="Style24"/>
              <w:keepNext w:val="0"/>
              <w:keepLines w:val="0"/>
              <w:widowControl w:val="0"/>
              <w:shd w:val="clear" w:color="auto" w:fill="auto"/>
              <w:bidi w:val="0"/>
              <w:spacing w:before="0" w:after="0" w:line="295" w:lineRule="auto"/>
              <w:ind w:left="200" w:right="0" w:firstLine="1840"/>
              <w:jc w:val="left"/>
            </w:pPr>
            <w:r>
              <w:rPr>
                <w:color w:val="000000"/>
                <w:spacing w:val="0"/>
                <w:w w:val="100"/>
                <w:position w:val="0"/>
                <w:shd w:val="clear" w:color="auto" w:fill="auto"/>
                <w:lang w:val="ru-RU" w:eastAsia="ru-RU" w:bidi="ru-RU"/>
              </w:rPr>
              <w:t>, ведущего специалиста-эксперта отдела контроля закупок и антимонопольного контроля органов</w:t>
            </w:r>
          </w:p>
        </w:tc>
      </w:tr>
    </w:tbl>
    <w:p>
      <w:pPr>
        <w:pStyle w:val="Style1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власти,</w:t>
      </w:r>
    </w:p>
    <w:p>
      <w:pPr>
        <w:pStyle w:val="Style16"/>
        <w:keepNext w:val="0"/>
        <w:keepLines w:val="0"/>
        <w:widowControl w:val="0"/>
        <w:shd w:val="clear" w:color="auto" w:fill="auto"/>
        <w:bidi w:val="0"/>
        <w:spacing w:before="0" w:after="0"/>
        <w:ind w:left="0" w:right="0" w:firstLine="560"/>
        <w:jc w:val="left"/>
      </w:pPr>
      <w:r>
        <w:rPr>
          <w:i/>
          <w:iCs/>
          <w:color w:val="000000"/>
          <w:spacing w:val="0"/>
          <w:w w:val="100"/>
          <w:position w:val="0"/>
          <w:shd w:val="clear" w:color="auto" w:fill="auto"/>
          <w:lang w:val="ru-RU" w:eastAsia="ru-RU" w:bidi="ru-RU"/>
        </w:rPr>
        <w:t>при участии представителей:</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 xml:space="preserve">государственного Заказчика </w:t>
      </w:r>
      <w:r>
        <w:rPr>
          <w:color w:val="000000"/>
          <w:spacing w:val="0"/>
          <w:w w:val="100"/>
          <w:position w:val="0"/>
          <w:shd w:val="clear" w:color="auto" w:fill="auto"/>
          <w:lang w:val="ru-RU" w:eastAsia="ru-RU" w:bidi="ru-RU"/>
        </w:rPr>
        <w:t>— Государственного бюджетного учреждения здравоохранения Республики Хакасия «Аскизская центральная районная больница» (далее - Заказчик, ГБУЗ РХ «Аскизская центральная районная больница»):</w:t>
      </w:r>
    </w:p>
    <w:p>
      <w:pPr>
        <w:pStyle w:val="Style26"/>
        <w:keepNext/>
        <w:keepLines/>
        <w:widowControl w:val="0"/>
        <w:shd w:val="clear" w:color="auto" w:fill="auto"/>
        <w:bidi w:val="0"/>
        <w:spacing w:before="0"/>
        <w:ind w:left="0" w:right="0" w:firstLine="0"/>
        <w:jc w:val="left"/>
      </w:pPr>
      <w:bookmarkStart w:id="8" w:name="bookmark8"/>
      <w:r>
        <w:rPr>
          <w:color w:val="000000"/>
          <w:spacing w:val="0"/>
          <w:w w:val="100"/>
          <w:position w:val="0"/>
          <w:shd w:val="clear" w:color="auto" w:fill="auto"/>
          <w:lang w:val="ru-RU" w:eastAsia="ru-RU" w:bidi="ru-RU"/>
        </w:rPr>
        <w:t>111111111111111111111111</w:t>
      </w:r>
      <w:bookmarkEnd w:id="8"/>
    </w:p>
    <w:p>
      <w:pPr>
        <w:pStyle w:val="Style16"/>
        <w:keepNext w:val="0"/>
        <w:keepLines w:val="0"/>
        <w:widowControl w:val="0"/>
        <w:shd w:val="clear" w:color="auto" w:fill="auto"/>
        <w:bidi w:val="0"/>
        <w:spacing w:before="0" w:after="0"/>
        <w:ind w:left="0" w:right="0" w:firstLine="4860"/>
        <w:jc w:val="both"/>
      </w:pPr>
      <w:r>
        <w:rPr>
          <w:color w:val="000000"/>
          <w:spacing w:val="0"/>
          <w:w w:val="100"/>
          <w:position w:val="0"/>
          <w:shd w:val="clear" w:color="auto" w:fill="auto"/>
          <w:lang w:val="ru-RU" w:eastAsia="ru-RU" w:bidi="ru-RU"/>
        </w:rPr>
        <w:t>, на основании доверенности № б/н от 27.09.2024;</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 Государственного комитета по регулированию контрактной системы в сфере закупок Республики Хакасия (далее — уполномоченный орган):</w:t>
      </w:r>
    </w:p>
    <w:p>
      <w:pPr>
        <w:pStyle w:val="Style16"/>
        <w:keepNext w:val="0"/>
        <w:keepLines w:val="0"/>
        <w:widowControl w:val="0"/>
        <w:shd w:val="clear" w:color="auto" w:fill="auto"/>
        <w:bidi w:val="0"/>
        <w:spacing w:before="0" w:after="0"/>
        <w:ind w:left="0" w:right="0" w:firstLine="5160"/>
        <w:jc w:val="both"/>
      </w:pPr>
      <w:r>
        <w:rPr>
          <w:color w:val="000000"/>
          <w:spacing w:val="0"/>
          <w:w w:val="100"/>
          <w:position w:val="0"/>
          <w:shd w:val="clear" w:color="auto" w:fill="auto"/>
          <w:lang w:val="ru-RU" w:eastAsia="ru-RU" w:bidi="ru-RU"/>
        </w:rPr>
        <w:t>, на основании доверенности № 5 от 23.01.2024;</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слушателя —</w:t>
      </w:r>
      <w:r>
        <w:rPr>
          <w:color w:val="000000"/>
          <w:spacing w:val="0"/>
          <w:w w:val="100"/>
          <w:position w:val="0"/>
          <w:shd w:val="clear" w:color="auto" w:fill="auto"/>
          <w:lang w:val="ru-RU" w:eastAsia="ru-RU" w:bidi="ru-RU"/>
        </w:rPr>
        <w:t xml:space="preserve"> Общества с ограниченной ответственностью «Бриарей» (далее — ООО «Бриарей»):</w:t>
      </w:r>
    </w:p>
    <w:p>
      <w:pPr>
        <w:pStyle w:val="Style16"/>
        <w:keepNext w:val="0"/>
        <w:keepLines w:val="0"/>
        <w:widowControl w:val="0"/>
        <w:shd w:val="clear" w:color="auto" w:fill="auto"/>
        <w:bidi w:val="0"/>
        <w:spacing w:before="0" w:after="0"/>
        <w:ind w:left="0" w:right="0" w:firstLine="4860"/>
        <w:jc w:val="both"/>
      </w:pPr>
      <w:r>
        <w:rPr>
          <w:color w:val="000000"/>
          <w:spacing w:val="0"/>
          <w:w w:val="100"/>
          <w:position w:val="0"/>
          <w:shd w:val="clear" w:color="auto" w:fill="auto"/>
          <w:lang w:val="ru-RU" w:eastAsia="ru-RU" w:bidi="ru-RU"/>
        </w:rPr>
        <w:t>[, на основании доверенности № 1 от 01.09.2024;</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без участия Общества с ограниченной ответственностью «Сорго» (далее - Заявитель, Общество, ООО «Сорго»), извещенного надлежащим образом о времени и месте рассмотрения жалобы,</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ООО «Сорго» на действия субъектов контроля при проведении электронного аукциона в электронной форме на поставку медицинский изделий (шовный материал), (извещение № 0380200000124005792) (далее - аукцион), и в результате осуществления внеплановой проверки в соответствии с пунктом 1 части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ind w:left="0" w:right="0" w:firstLine="0"/>
        <w:jc w:val="center"/>
      </w:pPr>
      <w:bookmarkStart w:id="10" w:name="bookmark10"/>
      <w:r>
        <w:rPr>
          <w:color w:val="000000"/>
          <w:spacing w:val="0"/>
          <w:w w:val="100"/>
          <w:position w:val="0"/>
          <w:shd w:val="clear" w:color="auto" w:fill="auto"/>
          <w:lang w:val="ru-RU" w:eastAsia="ru-RU" w:bidi="ru-RU"/>
        </w:rPr>
        <w:t>УСТАНОВИЛА:</w:t>
      </w:r>
      <w:bookmarkEnd w:id="10"/>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поступила жалоба Заявителя на действия Заказчика при проведении электронного аукциона.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Заявитель считает, что его права и законные интересы нарушены действиями Заказчика, который при формировании описания объекта закупки указал требования к функциональным и техническим характеристикам товара, которые соответствуют одному производителю, а именно по позиции 8 - шовный материал, по совокупности характеристик имеет одного производителя, по позициям 17-19 — шовные материалы, по характеристикам не подходят ни под одного производителя.</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Представитель Заказчика, представив в материалы дела письменные пояснения, запрашиваемые документы, не согласился с доводами жалобы.</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До рассмотрения жалобы в материалы дела от Заказчика поступили запрашиваемые пояснения и документы. На заседании комиссии представитель </w:t>
      </w:r>
      <w:r>
        <w:rPr>
          <w:color w:val="000000"/>
          <w:spacing w:val="0"/>
          <w:w w:val="100"/>
          <w:position w:val="0"/>
          <w:shd w:val="clear" w:color="auto" w:fill="auto"/>
          <w:lang w:val="ru-RU" w:eastAsia="ru-RU" w:bidi="ru-RU"/>
        </w:rPr>
        <w:t>Заказчика возражал по доводам жалобы, просил признать её необоснованной, при этом указал, что по позиции 8 - «Нить хирургическая рассасывающаяся», соответствует характеристикам шовных материалов от производителей ООО «БИОПОЛИМЕР» и ООО «Б.Браун Медикал». По позициям 17, 18 и 19, указанные в документации о закупке, характеристики, по мнению представителя Заказчика, соответствуют шовным материалам от производителей ООО «Футберг» и ООО «Джонсон &amp; Джонсон».</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Представитель Уполномоченного органа, представив в материалы дела письменные пояснения, запрашиваемые документы, указал, что положения извещения электронного аукциона соответствуют требованиям Закона о контрактной системе и потребности государственного заказчика.</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(далее - Извещение), электронными документами к нему, протоколами, составленными при определении поставщика (подрядчика, исполнителя):</w:t>
      </w:r>
    </w:p>
    <w:p>
      <w:pPr>
        <w:pStyle w:val="Style16"/>
        <w:keepNext w:val="0"/>
        <w:keepLines w:val="0"/>
        <w:widowControl w:val="0"/>
        <w:numPr>
          <w:ilvl w:val="0"/>
          <w:numId w:val="1"/>
        </w:numPr>
        <w:shd w:val="clear" w:color="auto" w:fill="auto"/>
        <w:tabs>
          <w:tab w:pos="892"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ЕИС - 20.09.2024;</w:t>
      </w:r>
    </w:p>
    <w:p>
      <w:pPr>
        <w:pStyle w:val="Style16"/>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начальная (максимальная) цена контракта - 1 880 652,80 рублей;</w:t>
      </w:r>
    </w:p>
    <w:p>
      <w:pPr>
        <w:pStyle w:val="Style16"/>
        <w:keepNext w:val="0"/>
        <w:keepLines w:val="0"/>
        <w:widowControl w:val="0"/>
        <w:numPr>
          <w:ilvl w:val="0"/>
          <w:numId w:val="1"/>
        </w:numPr>
        <w:shd w:val="clear" w:color="auto" w:fill="auto"/>
        <w:tabs>
          <w:tab w:pos="91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6"/>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30.09.2024 08:00;</w:t>
      </w:r>
    </w:p>
    <w:p>
      <w:pPr>
        <w:pStyle w:val="Style16"/>
        <w:keepNext w:val="0"/>
        <w:keepLines w:val="0"/>
        <w:widowControl w:val="0"/>
        <w:numPr>
          <w:ilvl w:val="0"/>
          <w:numId w:val="1"/>
        </w:numPr>
        <w:shd w:val="clear" w:color="auto" w:fill="auto"/>
        <w:tabs>
          <w:tab w:pos="918" w:val="left"/>
        </w:tabs>
        <w:bidi w:val="0"/>
        <w:spacing w:before="0" w:after="36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-02.10.2024.</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довода Заявителя об установлении Заказчиком требований к функциональным и техническим характеристикам товара, которые соответствуют одному производителю, комиссия Хакасского УФАС России приходит к следующим выводам.</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Частью 2 статьи 8 Закона о контрактной системе определено, что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пункту 1 части 1 статьи 33 Закона о контрактной системе Заказчик в случаях, предусмотренных Законом о контрактной системе, при описании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Согласно части 3 статьи 33 Закона о контрактной системе </w:t>
      </w:r>
      <w:r>
        <w:rPr>
          <w:b/>
          <w:bCs/>
          <w:color w:val="000000"/>
          <w:spacing w:val="0"/>
          <w:w w:val="100"/>
          <w:position w:val="0"/>
          <w:shd w:val="clear" w:color="auto" w:fill="auto"/>
          <w:lang w:val="ru-RU" w:eastAsia="ru-RU" w:bidi="ru-RU"/>
        </w:rPr>
        <w:t xml:space="preserve">не допускается включение в описание объекта закупки (в том числе в форме требований к </w:t>
      </w:r>
      <w:r>
        <w:rPr>
          <w:color w:val="000000"/>
          <w:spacing w:val="0"/>
          <w:w w:val="100"/>
          <w:position w:val="0"/>
          <w:shd w:val="clear" w:color="auto" w:fill="auto"/>
          <w:lang w:val="ru-RU" w:eastAsia="ru-RU" w:bidi="ru-RU"/>
        </w:rPr>
        <w:t xml:space="preserve">качеству, </w:t>
      </w:r>
      <w:r>
        <w:rPr>
          <w:b/>
          <w:bCs/>
          <w:color w:val="000000"/>
          <w:spacing w:val="0"/>
          <w:w w:val="100"/>
          <w:position w:val="0"/>
          <w:shd w:val="clear" w:color="auto" w:fill="auto"/>
          <w:lang w:val="ru-RU" w:eastAsia="ru-RU" w:bidi="ru-RU"/>
        </w:rPr>
        <w:t xml:space="preserve">техническим характеристикам товара, </w:t>
      </w:r>
      <w:r>
        <w:rPr>
          <w:color w:val="000000"/>
          <w:spacing w:val="0"/>
          <w:w w:val="100"/>
          <w:position w:val="0"/>
          <w:shd w:val="clear" w:color="auto" w:fill="auto"/>
          <w:lang w:val="ru-RU" w:eastAsia="ru-RU" w:bidi="ru-RU"/>
        </w:rPr>
        <w:t xml:space="preserve">работы или услуги, требований к функциональным характеристикам (потребительским свойствам) товара) </w:t>
      </w:r>
      <w:r>
        <w:rPr>
          <w:b/>
          <w:bCs/>
          <w:color w:val="000000"/>
          <w:spacing w:val="0"/>
          <w:w w:val="100"/>
          <w:position w:val="0"/>
          <w:shd w:val="clear" w:color="auto" w:fill="auto"/>
          <w:lang w:val="ru-RU" w:eastAsia="ru-RU" w:bidi="ru-RU"/>
        </w:rPr>
        <w:t xml:space="preserve">требований к производителю товара, </w:t>
      </w:r>
      <w:r>
        <w:rPr>
          <w:color w:val="000000"/>
          <w:spacing w:val="0"/>
          <w:w w:val="100"/>
          <w:position w:val="0"/>
          <w:shd w:val="clear" w:color="auto" w:fill="auto"/>
          <w:lang w:val="ru-RU" w:eastAsia="ru-RU" w:bidi="ru-RU"/>
        </w:rPr>
        <w:t>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Позиция ФАС России сводится к тому, что установление требований к объекту закупки, указывающих на единственного производителя, не позволяющих предложить к поставке аналогичный товар иного производителя, ограничивает количество участников закупки, так как приводит к несамостоятельным действиям участников при подаче ценовых предложений, поскольку такие действия обусловливаются ценовой политикой одного хозяйствующего субъекта производителя, в том числе способного оказать влияние на ценовые предложения различных поставщиков и (или) отказаться от заключения договоров поставки с ними. В том случае, если закупаемый товар не предполагает специфики использования, потребность заказчика может быть удовлетворена аналогичным </w:t>
      </w:r>
      <w:r>
        <w:rPr>
          <w:color w:val="000000"/>
          <w:spacing w:val="0"/>
          <w:w w:val="100"/>
          <w:position w:val="0"/>
          <w:shd w:val="clear" w:color="auto" w:fill="auto"/>
          <w:lang w:val="ru-RU" w:eastAsia="ru-RU" w:bidi="ru-RU"/>
        </w:rPr>
        <w:t>товаром различных производителей. При этом заказчику надлежит осуществить действия по обеспечению соответствия требованиям описания объекта закупки товаров как минимум двух производителей в целях расширения круга участников закупки, обеспечения экономии бюджетных средств путем наличия конкурентной среды при проведении электронного аукциона.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Вместе с тем, при описании объекта закупки по позиции 8 «Нить хирургическая рассасывающаяся» Заказчиком установлены следующие технические характеристики:</w:t>
      </w:r>
    </w:p>
    <w:tbl>
      <w:tblPr>
        <w:tblOverlap w:val="never"/>
        <w:jc w:val="center"/>
        <w:tblLayout w:type="fixed"/>
      </w:tblPr>
      <w:tblGrid>
        <w:gridCol w:w="2736"/>
        <w:gridCol w:w="2712"/>
        <w:gridCol w:w="1474"/>
        <w:gridCol w:w="3298"/>
      </w:tblGrid>
      <w:tr>
        <w:trPr>
          <w:trHeight w:val="81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Значение характеристики</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Единица измерения характеристики</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19"/>
                <w:szCs w:val="19"/>
              </w:rPr>
            </w:pPr>
            <w:r>
              <w:rPr>
                <w:color w:val="000000"/>
                <w:spacing w:val="0"/>
                <w:w w:val="100"/>
                <w:position w:val="0"/>
                <w:sz w:val="19"/>
                <w:szCs w:val="19"/>
                <w:shd w:val="clear" w:color="auto" w:fill="auto"/>
                <w:lang w:val="ru-RU" w:eastAsia="ru-RU" w:bidi="ru-RU"/>
              </w:rPr>
              <w:t>Инструкция по заполнению характеристик в заявке</w:t>
            </w:r>
          </w:p>
        </w:tc>
      </w:tr>
      <w:tr>
        <w:trPr>
          <w:trHeight w:val="811"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Состав нити</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7"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100%е-капролактон либо низкомолекулярный гликонат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9"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 xml:space="preserve">Значение хапактепистики не может </w:t>
            </w:r>
            <w:r>
              <w:rPr>
                <w:b/>
                <w:bCs/>
                <w:color w:val="000000"/>
                <w:spacing w:val="0"/>
                <w:w w:val="100"/>
                <w:position w:val="0"/>
                <w:sz w:val="19"/>
                <w:szCs w:val="19"/>
                <w:u w:val="single"/>
                <w:shd w:val="clear" w:color="auto" w:fill="auto"/>
                <w:lang w:val="ru-RU" w:eastAsia="ru-RU" w:bidi="ru-RU"/>
              </w:rPr>
              <w:t>изменяться участником закупки</w:t>
            </w:r>
          </w:p>
        </w:tc>
      </w:tr>
      <w:tr>
        <w:trPr>
          <w:trHeight w:val="706"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Цвет нити окрашенный</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386" w:lineRule="auto"/>
              <w:ind w:left="0" w:right="0" w:firstLine="0"/>
              <w:jc w:val="center"/>
              <w:rPr>
                <w:sz w:val="19"/>
                <w:szCs w:val="19"/>
              </w:rPr>
            </w:pPr>
            <w:r>
              <w:rPr>
                <w:color w:val="000000"/>
                <w:spacing w:val="0"/>
                <w:w w:val="100"/>
                <w:position w:val="0"/>
                <w:sz w:val="19"/>
                <w:szCs w:val="19"/>
                <w:shd w:val="clear" w:color="auto" w:fill="auto"/>
                <w:lang w:val="ru-RU" w:eastAsia="ru-RU" w:bidi="ru-RU"/>
              </w:rPr>
              <w:t>неокрашенный контрастный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r>
        <w:trPr>
          <w:trHeight w:val="811"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После имплантации сохраняет достаточную прочность в организме в период, день</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6-8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r>
        <w:trPr>
          <w:trHeight w:val="581"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Срок полного рассасывания, день</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42-56</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 xml:space="preserve">Значение хапактепистики не может </w:t>
            </w:r>
            <w:r>
              <w:rPr>
                <w:b/>
                <w:bCs/>
                <w:color w:val="000000"/>
                <w:spacing w:val="0"/>
                <w:w w:val="100"/>
                <w:position w:val="0"/>
                <w:sz w:val="19"/>
                <w:szCs w:val="19"/>
                <w:u w:val="single"/>
                <w:shd w:val="clear" w:color="auto" w:fill="auto"/>
                <w:lang w:val="ru-RU" w:eastAsia="ru-RU" w:bidi="ru-RU"/>
              </w:rPr>
              <w:t>изменяться участником закупки</w:t>
            </w:r>
          </w:p>
        </w:tc>
      </w:tr>
      <w:tr>
        <w:trPr>
          <w:trHeight w:val="581"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Размер шовного материала условный (метрический)</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И8Р 2/0 ЕР 3</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r>
        <w:trPr>
          <w:trHeight w:val="586"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Длина нити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&gt;70</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Сантиметр</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Участник закупки указывает в заявке конкретное значение характеристики</w:t>
            </w:r>
          </w:p>
        </w:tc>
      </w:tr>
      <w:tr>
        <w:trPr>
          <w:trHeight w:val="581"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Тип иглы</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Колющая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r>
        <w:trPr>
          <w:trHeight w:val="581"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Окружность</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r>
        <w:trPr>
          <w:trHeight w:val="581"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Длина иглы</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&gt;17</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Миллиметр</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left"/>
              <w:rPr>
                <w:sz w:val="19"/>
                <w:szCs w:val="19"/>
              </w:rPr>
            </w:pPr>
            <w:r>
              <w:rPr>
                <w:color w:val="000000"/>
                <w:spacing w:val="0"/>
                <w:w w:val="100"/>
                <w:position w:val="0"/>
                <w:sz w:val="19"/>
                <w:szCs w:val="19"/>
                <w:shd w:val="clear" w:color="auto" w:fill="auto"/>
                <w:lang w:val="ru-RU" w:eastAsia="ru-RU" w:bidi="ru-RU"/>
              </w:rPr>
              <w:t>Участник закупки указывает в заявке конкретное значение характеристики</w:t>
            </w:r>
          </w:p>
        </w:tc>
      </w:tr>
      <w:tr>
        <w:trPr>
          <w:trHeight w:val="586"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Покрытие иглы</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Силикон</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r>
        <w:trPr>
          <w:trHeight w:val="586"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Индивидуальная упаковка</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r>
    </w:tbl>
    <w:p>
      <w:pPr>
        <w:widowControl w:val="0"/>
        <w:spacing w:after="239" w:line="1" w:lineRule="exact"/>
      </w:pP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Заявитель в жалобе указывает, что вышеописанный шовный материал, по совокупности характеристик имеет лишь одного производителя — ООО НПО «БИОПОЛИМЕР» РУ № ФСЗ 2008/01348 от 16.09.2015 г. Украина, Ближнее зарубежье, г. Полтава, поскольку по совокупности характеристик («Состав нити» и «Срок полного рассасывания») и Инструкции по заполнению заявки, данная позиция не имеет соответствия ни с одним производителем рынка шовного хирургическая материала кроме указанного.</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 целью проверки довода Заявителя и представленных пояснений Заказчика, антимонопольным органом 27.09.2024 в адрес производителей и потенциальных поставщиков шовных материалов был направлен запрос (исх. № ОШ/8516/24 от 27.09.2024) о предоставлении информации по производимому/поставляемому ими шовному материалу, соответствующему характеристикам, указанным в описании объекта закупки.</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адрес антимонопольного органа поступили ответы от производителей и потенциальных поставщиков шовных материалов, а именно:</w:t>
      </w:r>
    </w:p>
    <w:p>
      <w:pPr>
        <w:pStyle w:val="Style16"/>
        <w:keepNext w:val="0"/>
        <w:keepLines w:val="0"/>
        <w:widowControl w:val="0"/>
        <w:numPr>
          <w:ilvl w:val="0"/>
          <w:numId w:val="3"/>
        </w:numPr>
        <w:shd w:val="clear" w:color="auto" w:fill="auto"/>
        <w:tabs>
          <w:tab w:pos="754" w:val="left"/>
        </w:tabs>
        <w:bidi w:val="0"/>
        <w:spacing w:before="0" w:after="0"/>
        <w:ind w:left="0" w:right="0" w:firstLine="540"/>
        <w:jc w:val="both"/>
      </w:pPr>
      <w:r>
        <w:rPr>
          <w:color w:val="000000"/>
          <w:spacing w:val="0"/>
          <w:w w:val="100"/>
          <w:position w:val="0"/>
          <w:shd w:val="clear" w:color="auto" w:fill="auto"/>
          <w:lang w:val="ru-RU" w:eastAsia="ru-RU" w:bidi="ru-RU"/>
        </w:rPr>
        <w:t>письмо (вх. № 9970-ЭП/24 от 30.09.2024) от ООО НПО «БИОПОЛИМЕР», в котором общество указало, что выпускает нить Десмосин с характеристиками соответствующими требованиям Заказчика;</w:t>
      </w:r>
    </w:p>
    <w:p>
      <w:pPr>
        <w:pStyle w:val="Style16"/>
        <w:keepNext w:val="0"/>
        <w:keepLines w:val="0"/>
        <w:widowControl w:val="0"/>
        <w:numPr>
          <w:ilvl w:val="0"/>
          <w:numId w:val="3"/>
        </w:numPr>
        <w:shd w:val="clear" w:color="auto" w:fill="auto"/>
        <w:tabs>
          <w:tab w:pos="754" w:val="left"/>
        </w:tabs>
        <w:bidi w:val="0"/>
        <w:spacing w:before="0" w:after="0"/>
        <w:ind w:left="0" w:right="0" w:firstLine="540"/>
        <w:jc w:val="both"/>
      </w:pPr>
      <w:r>
        <w:rPr>
          <w:color w:val="000000"/>
          <w:spacing w:val="0"/>
          <w:w w:val="100"/>
          <w:position w:val="0"/>
          <w:shd w:val="clear" w:color="auto" w:fill="auto"/>
          <w:lang w:val="ru-RU" w:eastAsia="ru-RU" w:bidi="ru-RU"/>
        </w:rPr>
        <w:t>письмо (вх. № 9970-ЭП/24 от 30.09.2024) от ООО «Бриарей», в котором общество указало, что является официальным дилером НПО «БИОПОЛИМЕР» и поставляет Десмосин, отвечающий требованиям аукционной документации;</w:t>
      </w:r>
    </w:p>
    <w:p>
      <w:pPr>
        <w:pStyle w:val="Style16"/>
        <w:keepNext w:val="0"/>
        <w:keepLines w:val="0"/>
        <w:widowControl w:val="0"/>
        <w:numPr>
          <w:ilvl w:val="0"/>
          <w:numId w:val="3"/>
        </w:numPr>
        <w:shd w:val="clear" w:color="auto" w:fill="auto"/>
        <w:tabs>
          <w:tab w:pos="759" w:val="left"/>
        </w:tabs>
        <w:bidi w:val="0"/>
        <w:spacing w:before="0" w:after="0"/>
        <w:ind w:left="0" w:right="0" w:firstLine="540"/>
        <w:jc w:val="both"/>
      </w:pPr>
      <w:r>
        <w:rPr>
          <w:color w:val="000000"/>
          <w:spacing w:val="0"/>
          <w:w w:val="100"/>
          <w:position w:val="0"/>
          <w:shd w:val="clear" w:color="auto" w:fill="auto"/>
          <w:lang w:val="ru-RU" w:eastAsia="ru-RU" w:bidi="ru-RU"/>
        </w:rPr>
        <w:t>письмо (вх. № 9971-ЭП/24 от 30.09.2024) от ООО «Джонсон &amp; Джонсон», в котором общество указало, что в продуктовом портфеле Компании нет продукции, соответствующей техническим характеристикам, изложенным в позиции 8, в том числе по составу нити 100% е-капролактон;</w:t>
      </w:r>
    </w:p>
    <w:p>
      <w:pPr>
        <w:pStyle w:val="Style16"/>
        <w:keepNext w:val="0"/>
        <w:keepLines w:val="0"/>
        <w:widowControl w:val="0"/>
        <w:numPr>
          <w:ilvl w:val="0"/>
          <w:numId w:val="3"/>
        </w:numPr>
        <w:shd w:val="clear" w:color="auto" w:fill="auto"/>
        <w:tabs>
          <w:tab w:pos="759" w:val="left"/>
        </w:tabs>
        <w:bidi w:val="0"/>
        <w:spacing w:before="0" w:after="0"/>
        <w:ind w:left="0" w:right="0" w:firstLine="540"/>
        <w:jc w:val="both"/>
      </w:pPr>
      <w:r>
        <w:rPr>
          <w:color w:val="000000"/>
          <w:spacing w:val="0"/>
          <w:w w:val="100"/>
          <w:position w:val="0"/>
          <w:shd w:val="clear" w:color="auto" w:fill="auto"/>
          <w:lang w:val="ru-RU" w:eastAsia="ru-RU" w:bidi="ru-RU"/>
        </w:rPr>
        <w:t>письмо (вх. № 9974-ЭП/24 от 30.09.2024) от ООО «Волоть», в котором общество указало, что наиболее подходящей под описание объекта закупки по позиции 8 является производимая ООО «Волоть» продукция: ПЛКЛ (монофиламентные) нити полигликолидные с е-капролактоном и сополимером лактида в составе, синтетические, однако, срок полного рассасывания составляет 175 суток;</w:t>
      </w:r>
    </w:p>
    <w:p>
      <w:pPr>
        <w:pStyle w:val="Style16"/>
        <w:keepNext w:val="0"/>
        <w:keepLines w:val="0"/>
        <w:widowControl w:val="0"/>
        <w:numPr>
          <w:ilvl w:val="0"/>
          <w:numId w:val="3"/>
        </w:numPr>
        <w:shd w:val="clear" w:color="auto" w:fill="auto"/>
        <w:tabs>
          <w:tab w:pos="754" w:val="left"/>
        </w:tabs>
        <w:bidi w:val="0"/>
        <w:spacing w:before="0" w:after="0"/>
        <w:ind w:left="0" w:right="0" w:firstLine="540"/>
        <w:jc w:val="both"/>
      </w:pPr>
      <w:r>
        <w:rPr>
          <w:color w:val="000000"/>
          <w:spacing w:val="0"/>
          <w:w w:val="100"/>
          <w:position w:val="0"/>
          <w:shd w:val="clear" w:color="auto" w:fill="auto"/>
          <w:lang w:val="ru-RU" w:eastAsia="ru-RU" w:bidi="ru-RU"/>
        </w:rPr>
        <w:t>письмо (вх. № 9972-ЭП/24 от 30.09.2024) от ООО «Б.Браун Авитум Руссланд», в котором общество указало, что не осуществляет поставки шовного материала;</w:t>
      </w:r>
    </w:p>
    <w:p>
      <w:pPr>
        <w:pStyle w:val="Style16"/>
        <w:keepNext w:val="0"/>
        <w:keepLines w:val="0"/>
        <w:widowControl w:val="0"/>
        <w:numPr>
          <w:ilvl w:val="0"/>
          <w:numId w:val="3"/>
        </w:numPr>
        <w:shd w:val="clear" w:color="auto" w:fill="auto"/>
        <w:tabs>
          <w:tab w:pos="754" w:val="left"/>
        </w:tabs>
        <w:bidi w:val="0"/>
        <w:spacing w:before="0" w:after="0"/>
        <w:ind w:left="0" w:right="0" w:firstLine="540"/>
        <w:jc w:val="both"/>
      </w:pPr>
      <w:r>
        <w:rPr>
          <w:color w:val="000000"/>
          <w:spacing w:val="0"/>
          <w:w w:val="100"/>
          <w:position w:val="0"/>
          <w:shd w:val="clear" w:color="auto" w:fill="auto"/>
          <w:lang w:val="ru-RU" w:eastAsia="ru-RU" w:bidi="ru-RU"/>
        </w:rPr>
        <w:t>письмо (вх. № 9988-ЭП/24 от 30.09.2024) от ООО «Б.Браун Медикал», в котором общество указало, что по позиции 8, производимый ими шовный материал «Моносин Квик» не подходит по сроку полного рассасывания — 56 дней, в то время как в описании объекта закупки указано — 42-56 дней;</w:t>
      </w:r>
    </w:p>
    <w:p>
      <w:pPr>
        <w:pStyle w:val="Style16"/>
        <w:keepNext w:val="0"/>
        <w:keepLines w:val="0"/>
        <w:widowControl w:val="0"/>
        <w:numPr>
          <w:ilvl w:val="0"/>
          <w:numId w:val="3"/>
        </w:numPr>
        <w:shd w:val="clear" w:color="auto" w:fill="auto"/>
        <w:tabs>
          <w:tab w:pos="750" w:val="left"/>
        </w:tabs>
        <w:bidi w:val="0"/>
        <w:spacing w:before="0" w:after="0"/>
        <w:ind w:left="0" w:right="0" w:firstLine="540"/>
        <w:jc w:val="both"/>
      </w:pPr>
      <w:r>
        <w:rPr>
          <w:color w:val="000000"/>
          <w:spacing w:val="0"/>
          <w:w w:val="100"/>
          <w:position w:val="0"/>
          <w:shd w:val="clear" w:color="auto" w:fill="auto"/>
          <w:lang w:val="ru-RU" w:eastAsia="ru-RU" w:bidi="ru-RU"/>
        </w:rPr>
        <w:t>письмо (вх. № 9964-ЭП/24 от 30.09.2024) от ООО «Гематек», в котором общество указало, что не осуществляет производство шовных материалов;</w:t>
      </w:r>
    </w:p>
    <w:p>
      <w:pPr>
        <w:pStyle w:val="Style16"/>
        <w:keepNext w:val="0"/>
        <w:keepLines w:val="0"/>
        <w:widowControl w:val="0"/>
        <w:numPr>
          <w:ilvl w:val="0"/>
          <w:numId w:val="3"/>
        </w:numPr>
        <w:shd w:val="clear" w:color="auto" w:fill="auto"/>
        <w:tabs>
          <w:tab w:pos="750" w:val="left"/>
        </w:tabs>
        <w:bidi w:val="0"/>
        <w:spacing w:before="0" w:after="0"/>
        <w:ind w:left="0" w:right="0" w:firstLine="540"/>
        <w:jc w:val="both"/>
      </w:pPr>
      <w:r>
        <w:rPr>
          <w:color w:val="000000"/>
          <w:spacing w:val="0"/>
          <w:w w:val="100"/>
          <w:position w:val="0"/>
          <w:shd w:val="clear" w:color="auto" w:fill="auto"/>
          <w:lang w:val="ru-RU" w:eastAsia="ru-RU" w:bidi="ru-RU"/>
        </w:rPr>
        <w:t>письмо (вх. № 9966-ЭП/24 от 30.09.2024) от ЗАО «Плазмофильтр», в котором общество указало, что не осуществляет поставки шовного материала.</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В свою очередь, на заседании комиссии представитель Заказчика пояснил, что описание по позиции 8 - «Нить хирургическая рассасывающаяся» соответствует характеристикам шовных материалов от производителей ООО «БИОПОЛИМЕР» и </w:t>
      </w:r>
      <w:r>
        <w:rPr>
          <w:color w:val="000000"/>
          <w:spacing w:val="0"/>
          <w:w w:val="100"/>
          <w:position w:val="0"/>
          <w:shd w:val="clear" w:color="auto" w:fill="auto"/>
          <w:lang w:val="ru-RU" w:eastAsia="ru-RU" w:bidi="ru-RU"/>
        </w:rPr>
        <w:t>ООО «Б.Браун Медикал». Однако, ООО «Б.Браун Медикал» в ответе на запрос (вх. № 9988-ЭП/24 от 30.09.2024) указало, что производимый Обществом шовный материал не подходит по сроку полного рассасывания — 56 дней. При этом, по мнению Заказчика, шовный материал от производителя ООО «Б.Браун Медикал» соответствует его требованиям, поскольку срок полного рассасывания нити составляет 56 дней, что входит в диапазон значения 42-56 дней, указанный в описании объекта закупки по позиции 8.</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Представитель уполномоченного органа поддержал позицию представителя Заказчика.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Вместе с тем, согласно инструкции по применению шовного материала Моносин Квик (Мопозуп Ршск), производителем которого является ООО «Б.Браун Сурджикал, С.А.» (уполномоченным представителем является ООО «Б.Браун Медикал»), размещенной в Реестре медицинский изделий и организаций (индивидуальных предпринимателей), осуществляющих производство и изготовление медицинский изделий (далее — Реестр медицинских изделий), срок полного рассасывания составляет 42 дня, имеет в составе — 72% гликолида, 14% капролактона, 14% - триметилкарбоната.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инструкции по применению изделий ИАКПл «Волоть», утвержденной 05.06.2020 г. и размещенной в Реестре медицинский изделий на сайте Росздравнадзора, производимое ООО «Волоть» шовное изделие — рассасывающаяся хирургическая нить ПЛКЛ (монофиламентная) имеет в своем составе сополимер лактид и е-капролактон (без указания пропорций), а также имеет характеристику «Срок полного рассасывания» со значением 175 суток.</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согласно подпункта г) пункта 10 Постановления Правительства РФ от 27.12.2012 № 1416 «Об утверждении Правил государственной регистрации медицинских изделий»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входит в перечень документов, которые предоставляются для государственной регистрации медицинского изделия.</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 учетом части 4 статьи 38 Федерального закона от 21.11.2011 №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Подпунктом «н» пункта 6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 Постановлением Правительства РФ от 30.09.2021 № 1650 (далее - Правила № 1650), </w:t>
      </w:r>
      <w:r>
        <w:rPr>
          <w:color w:val="000000"/>
          <w:spacing w:val="0"/>
          <w:w w:val="100"/>
          <w:position w:val="0"/>
          <w:shd w:val="clear" w:color="auto" w:fill="auto"/>
          <w:lang w:val="ru-RU" w:eastAsia="ru-RU" w:bidi="ru-RU"/>
        </w:rPr>
        <w:t>предусмотрено, что Реестр медицинских изделий содержит, в том числе, электронный образ эксплуатационной документации производителя (изготовителя) на медицинское изделие.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Более того, согласно пункту 9 Правил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Сведения, содержащиеся в реестре, являются общедоступными и предоставляются органам государственной власти, органам местного самоуправления, иным юридическим лицам, а также физическим лицам. Сведения, содержащиеся в реестре, предоставляются бесплатно (пункты 12 и 13 Правил № 1650).</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Таким образом, с учётом того, что на общедоступном источнике (реестр медицинский изделий Росздравнадзора) имеется эксплуатационная документация производителя медицинского изделия, содержащая технические характеристики товара, Заказчику следует руководствоваться официальными документами производителя при разработке описания объекта закупки с целью недопущения ограничения количества участников закупки.</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рассмотрев в полном объеме Извещение, представленные документы, проанализировав информацию с реестра медицинский изделий Росздравнадзора, ответы производителей, и заслушав пояснения представителей Заказчика и Уполномоченного органа, а также приняв во внимание письменные доводы Заявителя, приходит к выводу, что под описание шовного материала, указанное Заказчиком по позиции 8 «Нить хирургическая рассасывающаяся» описания объекта закупки помимо шовного материала «Десмосин», производимого ООО НПО «БИОПОЛИМЕР», не подходят медицинские изделия иных производителей, в виду их несоответствия характеристикам, указанным Заказчиком при описании объекта закупки, и требованиям инструкции по заполнению заявки, согласно которой значение характеристики - «Срок полного рассасывания» - 42-56 дней не должно изменяться участником закупки, т. е. подлежит указанию в неизменном виде, в связи с чем, по сроку полного рассасывания шовного материала «Моносин Квик» значение «56 дней», не возможно указать как соответствующее требованиям Заказчика.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Также, Комиссия отмечает, что в инструкциях по использованию медицинских шовных материалов: Моносин Квик, ПЛКЛ (монофиламентная), размещенных на сайте Росздравнадзора, состав данных нитей не соответствует характеристике, приведенной в описании объекта закупки. В свою очередь, Моносин Квик от ООО </w:t>
      </w:r>
      <w:r>
        <w:rPr>
          <w:color w:val="000000"/>
          <w:spacing w:val="0"/>
          <w:w w:val="100"/>
          <w:position w:val="0"/>
          <w:shd w:val="clear" w:color="auto" w:fill="auto"/>
          <w:lang w:val="ru-RU" w:eastAsia="ru-RU" w:bidi="ru-RU"/>
        </w:rPr>
        <w:t>«Б.Браун Медикал» имеет в своем составе 72% гликолида, 14% капролактона и 14% триметилкарбоната, а ПЛКЛ (монофиламентная) от ООО «Волоть» имеет в составе сополимер лактид и е-капролактон (без указания пропорций), что не соответствует указанному Заказчиком значению в описании объекта закупки «100% е-капролактон либо низкомолекулярный гликонат». Таким образом, по составу нити шовные материалы Моносин Квик, ПЛКЛ (монофиламентная) не соответствуют потребности Заказчика.</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материалы дела не представлено доказательств, подтверждающих соответствие потребности Заказчика по позиции 8 иного шовного материала, помимо нити Десмосин производства ООО НПО «БИОПОЛИМЕР».</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также принимает во внимание, что на участие в закупке подана единственная заявка от участника закупки, с предложением о поставке по позиции 8 описания объекта закупки шовного материала производства ООО НПО «БИОПОЛИМЕР».</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Таким образом, довод жалобы о том, что по совокупности требований Заказчика по позиции 8 подходит шовный материал единственного производителя нашел свое подтверждение. Заказчик при описании объекта закупки нарушил требования пункта 1 части 1 и части 3 статьи 33, а также пункта 1 части 2 статьи 42 Закона о контрактной системе. В указанных действиях (бездействии) Заказчика содержатся признаки состава административного правонарушения, предусмотренного частью 4.1 статьи 7.30 КоАП.</w:t>
      </w:r>
    </w:p>
    <w:p>
      <w:pPr>
        <w:pStyle w:val="Style16"/>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отношении довода Заявителя об установлении Заказчиком требований к функциональным и техническим характеристикам товара, которые не соответствуют ни одному производителю, комиссия Хакасского УФАС России приходит к следующим выводам.</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 xml:space="preserve">Согласно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w:t>
      </w:r>
      <w:r>
        <w:rPr>
          <w:color w:val="000000"/>
          <w:spacing w:val="0"/>
          <w:w w:val="100"/>
          <w:position w:val="0"/>
          <w:shd w:val="clear" w:color="auto" w:fill="auto"/>
          <w:lang w:val="ru-RU" w:eastAsia="ru-RU" w:bidi="ru-RU"/>
        </w:rPr>
        <w:t>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В силу части 2 статьи 33 Закона о контрактной системе </w:t>
      </w:r>
      <w:r>
        <w:rPr>
          <w:b/>
          <w:bCs/>
          <w:color w:val="000000"/>
          <w:spacing w:val="0"/>
          <w:w w:val="100"/>
          <w:position w:val="0"/>
          <w:shd w:val="clear" w:color="auto" w:fill="auto"/>
          <w:lang w:val="ru-RU" w:eastAsia="ru-RU" w:bidi="ru-RU"/>
        </w:rPr>
        <w:t xml:space="preserve">описание объекта закупки </w:t>
      </w:r>
      <w:r>
        <w:rPr>
          <w:color w:val="000000"/>
          <w:spacing w:val="0"/>
          <w:w w:val="100"/>
          <w:position w:val="0"/>
          <w:shd w:val="clear" w:color="auto" w:fill="auto"/>
          <w:lang w:val="ru-RU" w:eastAsia="ru-RU" w:bidi="ru-RU"/>
        </w:rPr>
        <w:t xml:space="preserve">в соответствии с требованиями, указанными в части 1 статьи 33, </w:t>
      </w:r>
      <w:r>
        <w:rPr>
          <w:b/>
          <w:bCs/>
          <w:color w:val="000000"/>
          <w:spacing w:val="0"/>
          <w:w w:val="100"/>
          <w:position w:val="0"/>
          <w:shd w:val="clear" w:color="auto" w:fill="auto"/>
          <w:lang w:val="ru-RU" w:eastAsia="ru-RU" w:bidi="ru-RU"/>
        </w:rPr>
        <w:t xml:space="preserve">должно содержать показатели, позволяющие определить соответствие закупаемых товара, работы, услуги установленным заказчиком требованиям. </w:t>
      </w:r>
      <w:r>
        <w:rPr>
          <w:color w:val="000000"/>
          <w:spacing w:val="0"/>
          <w:w w:val="100"/>
          <w:position w:val="0"/>
          <w:shd w:val="clear" w:color="auto" w:fill="auto"/>
          <w:lang w:val="ru-RU" w:eastAsia="ru-RU" w:bidi="ru-RU"/>
        </w:rPr>
        <w:t>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Вместе с тем, при описании объекта закупки по позициям 17, 18 и 19 «Нить хирургическая из полиэфира, рассасывающаяся, полинить» Заказчиком установлена в том числе следующая техническая характеристика: «Срок полного рассасывания в период» со значением </w:t>
      </w:r>
      <w:r>
        <w:rPr>
          <w:b/>
          <w:bCs/>
          <w:color w:val="000000"/>
          <w:spacing w:val="0"/>
          <w:w w:val="100"/>
          <w:position w:val="0"/>
          <w:shd w:val="clear" w:color="auto" w:fill="auto"/>
          <w:lang w:val="ru-RU" w:eastAsia="ru-RU" w:bidi="ru-RU"/>
        </w:rPr>
        <w:t>- 50-60 дней.</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Заявитель в своей жалобе поясняет, что по вышеуказанной характеристике нет подходящих шовных материалов. Заявитель приводит в качестве примера такие шовные материалы как: «Викрил» от компании «Джонсон и Джонсон» Соединенные Штаты, «Викрол» от ООО «Футберг» Республика Беларусь, «Полигликолид -ко - лактид» от НТО «Медтехника» Россия, «ПГА-лак» от ООО «Волоть» Россия, но все они, в соответствии с инструкцией по применению, имеют срок полного рассасывания 56-70 дней, что не соответствует требованиям Заказчика.</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свою очередь, Заказчик направил в адрес Управления письменные пояснения (вх. № 9980-ЭП/24 от 27.09.2024), в которых указывает, что проведенный им анализ характеристик товара по позициям № 17-19 подтверждает соответствие описания объекта закупки не менее чем двум производителям данного вида медицинских изделий: «Викрил» Соединенные Штаты «Джонсон и Джонсон», «Викрол» Республика Беларусь «Футберг», Полигликолид -ко -лактид Россия ПТО Медтехника, ПГА-лак Россия ООО «Волоть», поскольку срок полного рассасывания таких нитей 56 дней (является нижней границей диапазона указанного производителем срока - 56- 70 дней) входит в диапазон 50-60 дней, указанный Заказчиком по позициям №№ 17-19</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 целью проверки довода Заявителя и пояснений Заказчика, антимонопольным органом 27.09.2024 в адрес производителей и потенциальных поставщиков шовных материалов был направлен запрос (исх. № ОШ/8516/24 от 27.09.2024) о предоставлении информации по производимому/поставляемому ими шовных материалов, соответствующему характеристикам, указанным в описании объекта закупки.</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 адрес антимонопольного органа поступили ответы от производителей и потенциальных поставщиков шовных материалов, а именно:</w:t>
      </w:r>
    </w:p>
    <w:p>
      <w:pPr>
        <w:pStyle w:val="Style16"/>
        <w:keepNext w:val="0"/>
        <w:keepLines w:val="0"/>
        <w:widowControl w:val="0"/>
        <w:numPr>
          <w:ilvl w:val="0"/>
          <w:numId w:val="5"/>
        </w:numPr>
        <w:shd w:val="clear" w:color="auto" w:fill="auto"/>
        <w:tabs>
          <w:tab w:pos="759" w:val="left"/>
        </w:tabs>
        <w:bidi w:val="0"/>
        <w:spacing w:before="0" w:after="0"/>
        <w:ind w:left="0" w:right="0" w:firstLine="540"/>
        <w:jc w:val="both"/>
      </w:pPr>
      <w:r>
        <w:rPr>
          <w:color w:val="000000"/>
          <w:spacing w:val="0"/>
          <w:w w:val="100"/>
          <w:position w:val="0"/>
          <w:shd w:val="clear" w:color="auto" w:fill="auto"/>
          <w:lang w:val="ru-RU" w:eastAsia="ru-RU" w:bidi="ru-RU"/>
        </w:rPr>
        <w:t xml:space="preserve">письмо (вх. № 9971-ЭП/24 от 30.09.2024) от ООО «Джонсон &amp; Джонсон», в котором общество указало, что в продуктовом портфеле Компании содержатся шовные материалы «Викрил фиолетовый М1 (5/0) 75 см игла колющая КВ-1 Р1и8», «Викрил фиолетовый М1.5 (4/0) 75 см игла колющая 8Н-2 Р1н8» и «Викрил фиолетовый М2 (3/0) 75 см игла колющая 8Н-2 Р1н8», но имеющие срок полного рассасывания </w:t>
      </w:r>
      <w:r>
        <w:rPr>
          <w:b/>
          <w:bCs/>
          <w:color w:val="000000"/>
          <w:spacing w:val="0"/>
          <w:w w:val="100"/>
          <w:position w:val="0"/>
          <w:shd w:val="clear" w:color="auto" w:fill="auto"/>
          <w:lang w:val="ru-RU" w:eastAsia="ru-RU" w:bidi="ru-RU"/>
        </w:rPr>
        <w:t>56-70 дней;</w:t>
      </w:r>
    </w:p>
    <w:p>
      <w:pPr>
        <w:pStyle w:val="Style16"/>
        <w:keepNext w:val="0"/>
        <w:keepLines w:val="0"/>
        <w:widowControl w:val="0"/>
        <w:numPr>
          <w:ilvl w:val="0"/>
          <w:numId w:val="5"/>
        </w:numPr>
        <w:shd w:val="clear" w:color="auto" w:fill="auto"/>
        <w:tabs>
          <w:tab w:pos="759" w:val="left"/>
        </w:tabs>
        <w:bidi w:val="0"/>
        <w:spacing w:before="0" w:after="0"/>
        <w:ind w:left="0" w:right="0" w:firstLine="540"/>
        <w:jc w:val="both"/>
      </w:pPr>
      <w:r>
        <w:rPr>
          <w:color w:val="000000"/>
          <w:spacing w:val="0"/>
          <w:w w:val="100"/>
          <w:position w:val="0"/>
          <w:shd w:val="clear" w:color="auto" w:fill="auto"/>
          <w:lang w:val="ru-RU" w:eastAsia="ru-RU" w:bidi="ru-RU"/>
        </w:rPr>
        <w:t xml:space="preserve">письмо (вх. № 9974-ЭП/24 от 30.09.2024) от ООО «Волоть», в котором общество указало, что наиболее подходящей под описание объекта закупки по позициям 17-19 является производимая ООО «Волоть» продукция: рассасывающиеся хирургические нити ПГА-лак (плетеные), однако, срок полного рассасывания нитей составляет </w:t>
      </w:r>
      <w:r>
        <w:rPr>
          <w:b/>
          <w:bCs/>
          <w:color w:val="000000"/>
          <w:spacing w:val="0"/>
          <w:w w:val="100"/>
          <w:position w:val="0"/>
          <w:shd w:val="clear" w:color="auto" w:fill="auto"/>
          <w:lang w:val="ru-RU" w:eastAsia="ru-RU" w:bidi="ru-RU"/>
        </w:rPr>
        <w:t>56-70 суток;</w:t>
      </w:r>
    </w:p>
    <w:p>
      <w:pPr>
        <w:pStyle w:val="Style16"/>
        <w:keepNext w:val="0"/>
        <w:keepLines w:val="0"/>
        <w:widowControl w:val="0"/>
        <w:numPr>
          <w:ilvl w:val="0"/>
          <w:numId w:val="5"/>
        </w:numPr>
        <w:shd w:val="clear" w:color="auto" w:fill="auto"/>
        <w:tabs>
          <w:tab w:pos="754" w:val="left"/>
        </w:tabs>
        <w:bidi w:val="0"/>
        <w:spacing w:before="0" w:after="0"/>
        <w:ind w:left="0" w:right="0" w:firstLine="540"/>
        <w:jc w:val="both"/>
      </w:pPr>
      <w:r>
        <w:rPr>
          <w:color w:val="000000"/>
          <w:spacing w:val="0"/>
          <w:w w:val="100"/>
          <w:position w:val="0"/>
          <w:shd w:val="clear" w:color="auto" w:fill="auto"/>
          <w:lang w:val="ru-RU" w:eastAsia="ru-RU" w:bidi="ru-RU"/>
        </w:rPr>
        <w:t>письмо (вх. № 9972-ЭП/24 от 30.09.2024) от ООО «Б.Браун Авитум Руссланд», в котором общество указало, что не осуществляет поставки шовного материала;</w:t>
      </w:r>
    </w:p>
    <w:p>
      <w:pPr>
        <w:pStyle w:val="Style16"/>
        <w:keepNext w:val="0"/>
        <w:keepLines w:val="0"/>
        <w:widowControl w:val="0"/>
        <w:numPr>
          <w:ilvl w:val="0"/>
          <w:numId w:val="5"/>
        </w:numPr>
        <w:shd w:val="clear" w:color="auto" w:fill="auto"/>
        <w:tabs>
          <w:tab w:pos="759" w:val="left"/>
        </w:tabs>
        <w:bidi w:val="0"/>
        <w:spacing w:before="0" w:after="0"/>
        <w:ind w:left="0" w:right="0" w:firstLine="540"/>
        <w:jc w:val="both"/>
      </w:pPr>
      <w:r>
        <w:rPr>
          <w:color w:val="000000"/>
          <w:spacing w:val="0"/>
          <w:w w:val="100"/>
          <w:position w:val="0"/>
          <w:shd w:val="clear" w:color="auto" w:fill="auto"/>
          <w:lang w:val="ru-RU" w:eastAsia="ru-RU" w:bidi="ru-RU"/>
        </w:rPr>
        <w:t xml:space="preserve">письмо (вх. № 9988-ЭП/24 от 30.09.2024) от ООО «Б.Браун Медикал», в котором общество указало, что по позициям 17-19, производимый Обществом шовный материал «Новосин» не подходит по сроку полного рассасывания — </w:t>
      </w:r>
      <w:r>
        <w:rPr>
          <w:b/>
          <w:bCs/>
          <w:color w:val="000000"/>
          <w:spacing w:val="0"/>
          <w:w w:val="100"/>
          <w:position w:val="0"/>
          <w:shd w:val="clear" w:color="auto" w:fill="auto"/>
          <w:lang w:val="ru-RU" w:eastAsia="ru-RU" w:bidi="ru-RU"/>
        </w:rPr>
        <w:t xml:space="preserve">56-70 дней, </w:t>
      </w:r>
      <w:r>
        <w:rPr>
          <w:color w:val="000000"/>
          <w:spacing w:val="0"/>
          <w:w w:val="100"/>
          <w:position w:val="0"/>
          <w:shd w:val="clear" w:color="auto" w:fill="auto"/>
          <w:lang w:val="ru-RU" w:eastAsia="ru-RU" w:bidi="ru-RU"/>
        </w:rPr>
        <w:t>в то время как в описании объекта закупки указано — 50-60 дней;</w:t>
      </w:r>
    </w:p>
    <w:p>
      <w:pPr>
        <w:pStyle w:val="Style16"/>
        <w:keepNext w:val="0"/>
        <w:keepLines w:val="0"/>
        <w:widowControl w:val="0"/>
        <w:numPr>
          <w:ilvl w:val="0"/>
          <w:numId w:val="5"/>
        </w:numPr>
        <w:shd w:val="clear" w:color="auto" w:fill="auto"/>
        <w:tabs>
          <w:tab w:pos="750" w:val="left"/>
        </w:tabs>
        <w:bidi w:val="0"/>
        <w:spacing w:before="0" w:after="0"/>
        <w:ind w:left="0" w:right="0" w:firstLine="540"/>
        <w:jc w:val="both"/>
      </w:pPr>
      <w:r>
        <w:rPr>
          <w:color w:val="000000"/>
          <w:spacing w:val="0"/>
          <w:w w:val="100"/>
          <w:position w:val="0"/>
          <w:shd w:val="clear" w:color="auto" w:fill="auto"/>
          <w:lang w:val="ru-RU" w:eastAsia="ru-RU" w:bidi="ru-RU"/>
        </w:rPr>
        <w:t>письмо (вх. № 9964-ЭП/24 от 30.09.2024) от ООО «Гематек», в котором общество указало, что не осуществляет производство шовных материалов;</w:t>
      </w:r>
    </w:p>
    <w:p>
      <w:pPr>
        <w:pStyle w:val="Style16"/>
        <w:keepNext w:val="0"/>
        <w:keepLines w:val="0"/>
        <w:widowControl w:val="0"/>
        <w:numPr>
          <w:ilvl w:val="0"/>
          <w:numId w:val="5"/>
        </w:numPr>
        <w:shd w:val="clear" w:color="auto" w:fill="auto"/>
        <w:tabs>
          <w:tab w:pos="750" w:val="left"/>
        </w:tabs>
        <w:bidi w:val="0"/>
        <w:spacing w:before="0" w:after="0"/>
        <w:ind w:left="0" w:right="0" w:firstLine="540"/>
        <w:jc w:val="both"/>
      </w:pPr>
      <w:r>
        <w:rPr>
          <w:color w:val="000000"/>
          <w:spacing w:val="0"/>
          <w:w w:val="100"/>
          <w:position w:val="0"/>
          <w:shd w:val="clear" w:color="auto" w:fill="auto"/>
          <w:lang w:val="ru-RU" w:eastAsia="ru-RU" w:bidi="ru-RU"/>
        </w:rPr>
        <w:t>письмо (вх. № 9966-ЭП/24 от 30.09.2024) от ЗАО «Плазмофильтр», в котором общество указало, что не осуществляет поставки шовного материала;</w:t>
      </w:r>
    </w:p>
    <w:p>
      <w:pPr>
        <w:pStyle w:val="Style16"/>
        <w:keepNext w:val="0"/>
        <w:keepLines w:val="0"/>
        <w:widowControl w:val="0"/>
        <w:numPr>
          <w:ilvl w:val="0"/>
          <w:numId w:val="5"/>
        </w:numPr>
        <w:shd w:val="clear" w:color="auto" w:fill="auto"/>
        <w:tabs>
          <w:tab w:pos="759" w:val="left"/>
        </w:tabs>
        <w:bidi w:val="0"/>
        <w:spacing w:before="0" w:after="0"/>
        <w:ind w:left="0" w:right="0" w:firstLine="540"/>
        <w:jc w:val="both"/>
      </w:pPr>
      <w:r>
        <w:rPr>
          <w:color w:val="000000"/>
          <w:spacing w:val="0"/>
          <w:w w:val="100"/>
          <w:position w:val="0"/>
          <w:shd w:val="clear" w:color="auto" w:fill="auto"/>
          <w:lang w:val="ru-RU" w:eastAsia="ru-RU" w:bidi="ru-RU"/>
        </w:rPr>
        <w:t>письмо (вх. № 9970-ЭП/24 от 30.09.2024) от ООО «Бриарей», в котором общество указало, что ни одна из поставляемых нитей «Нить хирургиеская из полэфира, рассасывающаяся, полинить», не соответствуют техническим характеристикам, указанным в позиции 17-19 описания объекта закупки, так как срок полного рассасывания не подходит ни под одну из поставляемых Обществом позиций.</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Кроме того, согласно инструкции по использованию шовного материала Викрол, производителем которого является ООО «Футберг», размещенной в Реестре медицинский изделий, такой шовный материал имеет характеристику «Срок полного рассасывания» со значением </w:t>
      </w:r>
      <w:r>
        <w:rPr>
          <w:b/>
          <w:bCs/>
          <w:color w:val="000000"/>
          <w:spacing w:val="0"/>
          <w:w w:val="100"/>
          <w:position w:val="0"/>
          <w:shd w:val="clear" w:color="auto" w:fill="auto"/>
          <w:lang w:val="ru-RU" w:eastAsia="ru-RU" w:bidi="ru-RU"/>
        </w:rPr>
        <w:t>— 56-70 дней.</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Таким образом, у большинства потенциально подходящих описанию Заказчика нитей (по позициям № 17-19) срок полного рассасывания составляет 56-70 дней.</w:t>
      </w:r>
    </w:p>
    <w:p>
      <w:pPr>
        <w:pStyle w:val="Style16"/>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Доказательств того, что под описание объекта закупки по позициям № 17-19 подходит какой-либо шовный материал со сроком полного рассасывания нити 50-60 дней в материалы дела не представлено.</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Комиссия, рассмотрев в полном объеме Извещение, представленные документы, проанализировав информацию с реестра медицинский изделий Росздравнадзора, ответы производителей, и заслушав пояснения представителей Заказчика и Уполномоченного органа, а также приняв во внимание письменные доводы Заявителя, приходит к выводу, что под описание шовного материала, указанное по позициям № 17, 18 и 19 «Нить хирургическая из полиэфира, рассасывающаяся, полинить», нет подходящих шовных материалов, в совокупности соответствующих характеристикам, указанным Заказчиком при описании объекта закупки и с учетом требований инструкции по заполнению заявки, поскольку значение характеристики «Срок полного рассасывания» по позициям № 17, 18 и 19 - «50-60 дней», не должно изменяться участником закупки, г. е. подлежит указанию в неизменном виде.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Подтверждением вышеуказанному также может служить обращение Заказчика (от 27.09.2024 исх. № ), направленное в адрес Госкомзакупа Хакасии, об изменении извещения № 0380200000124005792 в части описания объекта закупки в и. 15, 17, 18, 19, а именно в указании значения характеристики «Срок полного рассасывания в период, дней» - 56-70 дней, вместо ранее уже установленного значения 50-60 дней.</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основании изложенного, Комиссия приходит к выводу, что Описание объекта закупки (по позициям № 17-19) не содержит показатели, позволяющие определить соответствие закупаемого товара установленным Заказчиком требованиям, что является нарушением части 2 статьи 33, а также пункта 1 части 2 статьи 42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1.4 статьи 7.30 КоАП РФ. Довод Заявителя обоснован.</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доводы жалобы о нарушении Заказчиком положений статьи 17 Федерального закона от 26.07.2006 № 135-ФЗ «О защите конкуренции» (далее — Закон о защите конкуренции) образуют самостоятельный предмет для рассмотрения в соответствии с порядком, предусмотренным Законом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Вместе с тем, для рассмотрения действий Заказчика при проведении закупки № 0380200000124005792 на предмет соблюдения требований Закона о защите конкуренции, Комиссия решила передать материалы дела в отдел антимонопольного законодательства и рекламы Управления Федеральной антимонопольной службы по Республике Хакасия.</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Кроме того, частью 3 статьи 99 Закона о контрактной системе установлено, что ФАС России осуществляет контроль в сфере закупок, за исключением контроля, предусмотренного частями 5, 8 и 10 статьи 99 Закона о контрактной системе.</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свою очередь, пунктом 3 части 8 статьи 99 Закона о контрактной системе закреплено,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Из размещенного в ЕИС обоснования начальной (максимальной) цены контракта по закупке № 0380200000124005792 следует, что Заказчиком использовался метод сопоставимых рыночных цен.</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материалы дела Заказчиком представлены следующие коммерческие предложения:</w:t>
      </w:r>
    </w:p>
    <w:p>
      <w:pPr>
        <w:pStyle w:val="Style16"/>
        <w:keepNext w:val="0"/>
        <w:keepLines w:val="0"/>
        <w:widowControl w:val="0"/>
        <w:numPr>
          <w:ilvl w:val="0"/>
          <w:numId w:val="7"/>
        </w:numPr>
        <w:shd w:val="clear" w:color="auto" w:fill="auto"/>
        <w:tabs>
          <w:tab w:pos="788" w:val="left"/>
        </w:tabs>
        <w:bidi w:val="0"/>
        <w:spacing w:before="0" w:after="0"/>
        <w:ind w:left="0" w:right="0" w:firstLine="560"/>
        <w:jc w:val="both"/>
      </w:pPr>
      <w:r>
        <w:rPr>
          <w:color w:val="000000"/>
          <w:spacing w:val="0"/>
          <w:w w:val="100"/>
          <w:position w:val="0"/>
          <w:shd w:val="clear" w:color="auto" w:fill="auto"/>
          <w:lang w:val="ru-RU" w:eastAsia="ru-RU" w:bidi="ru-RU"/>
        </w:rPr>
        <w:t>ООО «Бриарей» с предложением к поставке по позиции 8 Десмосин И8Р2\0 ЕРЗ 75 см игла кол 30 мм 1\2 по цене 113 500,00 рублей, производитель ООО НПО «БИОПОЛИМЕР» (Украина), по позициям 17-19 Викрол по цене 54 240,00 руб., производитель ООО «Футберг» (Республика Беларусь);</w:t>
      </w:r>
    </w:p>
    <w:p>
      <w:pPr>
        <w:pStyle w:val="Style16"/>
        <w:keepNext w:val="0"/>
        <w:keepLines w:val="0"/>
        <w:widowControl w:val="0"/>
        <w:numPr>
          <w:ilvl w:val="0"/>
          <w:numId w:val="7"/>
        </w:numPr>
        <w:shd w:val="clear" w:color="auto" w:fill="auto"/>
        <w:tabs>
          <w:tab w:pos="783" w:val="left"/>
        </w:tabs>
        <w:bidi w:val="0"/>
        <w:spacing w:before="0" w:after="0"/>
        <w:ind w:left="0" w:right="0" w:firstLine="560"/>
        <w:jc w:val="both"/>
      </w:pPr>
      <w:r>
        <w:rPr>
          <w:color w:val="000000"/>
          <w:spacing w:val="0"/>
          <w:w w:val="100"/>
          <w:position w:val="0"/>
          <w:shd w:val="clear" w:color="auto" w:fill="auto"/>
          <w:lang w:val="ru-RU" w:eastAsia="ru-RU" w:bidi="ru-RU"/>
        </w:rPr>
        <w:t>ООО «Орион» с предложением к поставке по позиции 8 Десмосин И8Р2\0 ЕРЗ 75 см игла кол 30 мм 1\2 по цене 112 500,00 рублей, производитель ООО НПО «БИОПОЛИМЕР» (Украина); по позициям 17-19 Викрол по цене 54 000,00 руб., производитель ООО «Футберг» (Республика Беларусь);</w:t>
      </w:r>
    </w:p>
    <w:p>
      <w:pPr>
        <w:pStyle w:val="Style16"/>
        <w:keepNext w:val="0"/>
        <w:keepLines w:val="0"/>
        <w:widowControl w:val="0"/>
        <w:numPr>
          <w:ilvl w:val="0"/>
          <w:numId w:val="7"/>
        </w:numPr>
        <w:shd w:val="clear" w:color="auto" w:fill="auto"/>
        <w:tabs>
          <w:tab w:pos="788" w:val="left"/>
        </w:tabs>
        <w:bidi w:val="0"/>
        <w:spacing w:before="0" w:after="0"/>
        <w:ind w:left="0" w:right="0" w:firstLine="560"/>
        <w:jc w:val="both"/>
      </w:pPr>
      <w:r>
        <w:rPr>
          <w:color w:val="000000"/>
          <w:spacing w:val="0"/>
          <w:w w:val="100"/>
          <w:position w:val="0"/>
          <w:shd w:val="clear" w:color="auto" w:fill="auto"/>
          <w:lang w:val="ru-RU" w:eastAsia="ru-RU" w:bidi="ru-RU"/>
        </w:rPr>
        <w:t>ООО «Бриарей» с предложением к поставке по позиции 8 Десмосин И8Р2\0 ЕРЗ 75 см игла кол 30 мм 1\2 по цене 115 000,00 рублей, производитель ООО НПО «БИОПОЛИМЕР» (Украина); по позициям 17-19 Викрол по цене 54 420,00 руб., производитель ООО «Футберг» (Республика Беларусь);</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 начальная (максимальная) цена контракта сформирована Заказчиком на основании трех коммерческих предложений о поставке одного и того же шовного материала: по позиции 8 - «Десмосин И8Р2\0 ЕРЗ 75 см игла кол 30 мм 1\2», производителем которого является ООО НПО «БИОПОЛИМЕР» (Украина), по позициям 17-19 - Викрол, производителем которого является ООО «Футберг» (Республика Беларусь).</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На основании изложенного, Комиссия полагает необходимым направить информацию в отношении определения и обоснования начальной (максимальной) цены контракта (закупка №0380200000124005792) в орган внутреннего государственного финансового контроля для проведения проверки в рамках представленных полномочий.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6"/>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 учётом выявленных нарушений, Комиссией принято решение выдать субъектам контроля обязательное для исполнения предписание об аннулировании закупки.</w:t>
      </w:r>
    </w:p>
    <w:p>
      <w:pPr>
        <w:pStyle w:val="Style16"/>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основании вышеизложенного и руководствуясь положениями Закона о контрактной системе, Комиссия,</w:t>
      </w:r>
    </w:p>
    <w:p>
      <w:pPr>
        <w:pStyle w:val="Style14"/>
        <w:keepNext/>
        <w:keepLines/>
        <w:widowControl w:val="0"/>
        <w:shd w:val="clear" w:color="auto" w:fill="auto"/>
        <w:bidi w:val="0"/>
        <w:spacing w:before="0"/>
        <w:ind w:left="0" w:right="0" w:firstLine="0"/>
        <w:jc w:val="center"/>
      </w:pPr>
      <w:bookmarkStart w:id="12" w:name="bookmark12"/>
      <w:r>
        <w:rPr>
          <w:color w:val="000000"/>
          <w:spacing w:val="0"/>
          <w:w w:val="100"/>
          <w:position w:val="0"/>
          <w:shd w:val="clear" w:color="auto" w:fill="auto"/>
          <w:lang w:val="ru-RU" w:eastAsia="ru-RU" w:bidi="ru-RU"/>
        </w:rPr>
        <w:t>РЕШИЛА:</w:t>
      </w:r>
      <w:bookmarkEnd w:id="12"/>
    </w:p>
    <w:p>
      <w:pPr>
        <w:pStyle w:val="Style16"/>
        <w:keepNext w:val="0"/>
        <w:keepLines w:val="0"/>
        <w:widowControl w:val="0"/>
        <w:numPr>
          <w:ilvl w:val="0"/>
          <w:numId w:val="9"/>
        </w:numPr>
        <w:shd w:val="clear" w:color="auto" w:fill="auto"/>
        <w:tabs>
          <w:tab w:pos="867" w:val="left"/>
        </w:tabs>
        <w:bidi w:val="0"/>
        <w:spacing w:before="0" w:after="0"/>
        <w:ind w:left="0" w:right="0" w:firstLine="560"/>
        <w:jc w:val="both"/>
      </w:pPr>
      <w:r>
        <w:rPr>
          <w:color w:val="000000"/>
          <w:spacing w:val="0"/>
          <w:w w:val="100"/>
          <w:position w:val="0"/>
          <w:shd w:val="clear" w:color="auto" w:fill="auto"/>
          <w:lang w:val="ru-RU" w:eastAsia="ru-RU" w:bidi="ru-RU"/>
        </w:rPr>
        <w:t>Признать жалобу ООО «Сорго» обоснованной.</w:t>
      </w:r>
    </w:p>
    <w:p>
      <w:pPr>
        <w:pStyle w:val="Style16"/>
        <w:keepNext w:val="0"/>
        <w:keepLines w:val="0"/>
        <w:widowControl w:val="0"/>
        <w:numPr>
          <w:ilvl w:val="0"/>
          <w:numId w:val="9"/>
        </w:numPr>
        <w:shd w:val="clear" w:color="auto" w:fill="auto"/>
        <w:tabs>
          <w:tab w:pos="867" w:val="left"/>
        </w:tabs>
        <w:bidi w:val="0"/>
        <w:spacing w:before="0" w:after="0"/>
        <w:ind w:left="0" w:right="0" w:firstLine="560"/>
        <w:jc w:val="both"/>
      </w:pPr>
      <w:r>
        <w:rPr>
          <w:color w:val="000000"/>
          <w:spacing w:val="0"/>
          <w:w w:val="100"/>
          <w:position w:val="0"/>
          <w:shd w:val="clear" w:color="auto" w:fill="auto"/>
          <w:lang w:val="ru-RU" w:eastAsia="ru-RU" w:bidi="ru-RU"/>
        </w:rPr>
        <w:t>Признать Заказчика нарушившим пункт 1 части 1, части 2 и 3 статьи 33, пункт 1 части 2 статьи 42 Закона о контрактной системе.</w:t>
      </w:r>
    </w:p>
    <w:p>
      <w:pPr>
        <w:pStyle w:val="Style16"/>
        <w:keepNext w:val="0"/>
        <w:keepLines w:val="0"/>
        <w:widowControl w:val="0"/>
        <w:numPr>
          <w:ilvl w:val="0"/>
          <w:numId w:val="9"/>
        </w:numPr>
        <w:shd w:val="clear" w:color="auto" w:fill="auto"/>
        <w:tabs>
          <w:tab w:pos="867" w:val="left"/>
        </w:tabs>
        <w:bidi w:val="0"/>
        <w:spacing w:before="0" w:after="0"/>
        <w:ind w:left="0" w:right="0" w:firstLine="560"/>
        <w:jc w:val="both"/>
      </w:pPr>
      <w:r>
        <w:rPr>
          <w:color w:val="000000"/>
          <w:spacing w:val="0"/>
          <w:w w:val="100"/>
          <w:position w:val="0"/>
          <w:shd w:val="clear" w:color="auto" w:fill="auto"/>
          <w:lang w:val="ru-RU" w:eastAsia="ru-RU" w:bidi="ru-RU"/>
        </w:rPr>
        <w:t>Заказчику, Уполномоченному органу и его комиссии, а также оператору электронной площадки выдать предписание об аннулировании закупки.</w:t>
      </w:r>
    </w:p>
    <w:p>
      <w:pPr>
        <w:pStyle w:val="Style16"/>
        <w:keepNext w:val="0"/>
        <w:keepLines w:val="0"/>
        <w:widowControl w:val="0"/>
        <w:numPr>
          <w:ilvl w:val="0"/>
          <w:numId w:val="9"/>
        </w:numPr>
        <w:shd w:val="clear" w:color="auto" w:fill="auto"/>
        <w:tabs>
          <w:tab w:pos="867" w:val="left"/>
        </w:tabs>
        <w:bidi w:val="0"/>
        <w:spacing w:before="0" w:after="0"/>
        <w:ind w:left="0" w:right="0" w:firstLine="560"/>
        <w:jc w:val="both"/>
      </w:pPr>
      <w:r>
        <w:rPr>
          <w:color w:val="000000"/>
          <w:spacing w:val="0"/>
          <w:w w:val="100"/>
          <w:position w:val="0"/>
          <w:shd w:val="clear" w:color="auto" w:fill="auto"/>
          <w:lang w:val="ru-RU" w:eastAsia="ru-RU" w:bidi="ru-RU"/>
        </w:rPr>
        <w:t>Передать материалы дела в отдел антимонопольного законодательства и рекламы Управления Федеральной антимонопольной службы по Республике Хакасия для рассмотрения довода Заявителя о нарушении Заказчиком положений статьи 17 Федерального закона от 26.07.2006 № 135-ФЗ «О защите конкуренции».</w:t>
      </w:r>
    </w:p>
    <w:p>
      <w:pPr>
        <w:pStyle w:val="Style16"/>
        <w:keepNext w:val="0"/>
        <w:keepLines w:val="0"/>
        <w:widowControl w:val="0"/>
        <w:numPr>
          <w:ilvl w:val="0"/>
          <w:numId w:val="9"/>
        </w:numPr>
        <w:shd w:val="clear" w:color="auto" w:fill="auto"/>
        <w:tabs>
          <w:tab w:pos="867" w:val="left"/>
        </w:tabs>
        <w:bidi w:val="0"/>
        <w:spacing w:before="0" w:after="0"/>
        <w:ind w:left="0" w:right="0" w:firstLine="560"/>
        <w:jc w:val="both"/>
      </w:pPr>
      <w:r>
        <w:rPr>
          <w:color w:val="000000"/>
          <w:spacing w:val="0"/>
          <w:w w:val="100"/>
          <w:position w:val="0"/>
          <w:shd w:val="clear" w:color="auto" w:fill="auto"/>
          <w:lang w:val="ru-RU" w:eastAsia="ru-RU" w:bidi="ru-RU"/>
        </w:rPr>
        <w:t>Направить информацию по обоснованию начальной (максимальной) цены контракта в Министерство финансов Республики Хакасия для рассмотрения в рамках представленных полномочий.</w:t>
      </w:r>
    </w:p>
    <w:p>
      <w:pPr>
        <w:pStyle w:val="Style16"/>
        <w:keepNext w:val="0"/>
        <w:keepLines w:val="0"/>
        <w:widowControl w:val="0"/>
        <w:numPr>
          <w:ilvl w:val="0"/>
          <w:numId w:val="9"/>
        </w:numPr>
        <w:shd w:val="clear" w:color="auto" w:fill="auto"/>
        <w:tabs>
          <w:tab w:pos="867" w:val="left"/>
        </w:tabs>
        <w:bidi w:val="0"/>
        <w:spacing w:before="0" w:after="360"/>
        <w:ind w:left="0" w:right="0" w:firstLine="560"/>
        <w:jc w:val="both"/>
      </w:pPr>
      <w:r>
        <w:rPr>
          <w:color w:val="000000"/>
          <w:spacing w:val="0"/>
          <w:w w:val="100"/>
          <w:position w:val="0"/>
          <w:shd w:val="clear" w:color="auto" w:fill="auto"/>
          <w:lang w:val="ru-RU" w:eastAsia="ru-RU" w:bidi="ru-RU"/>
        </w:rPr>
        <w:t>Передать материалы жалобы должностному лицу Управления Федеральной антимонопольной службы по Республике Хакасия для рассмотрения вопроса о привлечении к административной ответственности.</w:t>
      </w:r>
      <w:r>
        <w:br w:type="page"/>
      </w:r>
    </w:p>
    <w:p>
      <w:pPr>
        <w:pStyle w:val="Style16"/>
        <w:keepNext w:val="0"/>
        <w:keepLines w:val="0"/>
        <w:widowControl w:val="0"/>
        <w:shd w:val="clear" w:color="auto" w:fill="auto"/>
        <w:bidi w:val="0"/>
        <w:spacing w:before="0" w:after="0"/>
        <w:ind w:left="0" w:right="0" w:firstLine="540"/>
        <w:jc w:val="both"/>
        <w:sectPr>
          <w:footnotePr>
            <w:pos w:val="pageBottom"/>
            <w:numFmt w:val="decimal"/>
            <w:numRestart w:val="continuous"/>
          </w:footnotePr>
          <w:type w:val="continuous"/>
          <w:pgSz w:w="11900" w:h="16840"/>
          <w:pgMar w:top="934" w:right="520" w:bottom="734" w:left="1104" w:header="0" w:footer="3" w:gutter="0"/>
          <w:cols w:space="720"/>
          <w:noEndnote/>
          <w:rtlGutter w:val="0"/>
          <w:docGrid w:linePitch="360"/>
        </w:sectPr>
      </w:pPr>
      <w:r>
        <mc:AlternateContent>
          <mc:Choice Requires="wps">
            <w:drawing>
              <wp:anchor distT="0" distB="0" distL="50800" distR="50800" simplePos="0" relativeHeight="125829382" behindDoc="0" locked="0" layoutInCell="1" allowOverlap="1">
                <wp:simplePos x="0" y="0"/>
                <wp:positionH relativeFrom="page">
                  <wp:posOffset>5498465</wp:posOffset>
                </wp:positionH>
                <wp:positionV relativeFrom="paragraph">
                  <wp:posOffset>12700</wp:posOffset>
                </wp:positionV>
                <wp:extent cx="1713230" cy="210185"/>
                <wp:wrapSquare wrapText="left"/>
                <wp:docPr id="12" name="Shape 12"/>
                <a:graphic xmlns:a="http://schemas.openxmlformats.org/drawingml/2006/main">
                  <a:graphicData uri="http://schemas.microsoft.com/office/word/2010/wordprocessingShape">
                    <wps:wsp>
                      <wps:cNvSpPr txBox="1"/>
                      <wps:spPr>
                        <a:xfrm>
                          <a:ext cx="1713230"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ru-RU" w:eastAsia="ru-RU" w:bidi="ru-RU"/>
                              </w:rPr>
                              <w:t>арбитражном суде в</w:t>
                            </w:r>
                          </w:p>
                        </w:txbxContent>
                      </wps:txbx>
                      <wps:bodyPr wrap="none" lIns="0" tIns="0" rIns="0" bIns="0">
                        <a:noAutoFit/>
                      </wps:bodyPr>
                    </wps:wsp>
                  </a:graphicData>
                </a:graphic>
              </wp:anchor>
            </w:drawing>
          </mc:Choice>
          <mc:Fallback>
            <w:pict>
              <v:shape id="_x0000_s1038" type="#_x0000_t202" style="position:absolute;margin-left:432.94999999999999pt;margin-top:1.pt;width:134.90000000000001pt;height:16.550000000000001pt;z-index:-125829371;mso-wrap-distance-left:4.pt;mso-wrap-distance-right: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ru-RU" w:eastAsia="ru-RU" w:bidi="ru-RU"/>
                        </w:rPr>
                        <w:t>арбитражном суде в</w:t>
                      </w:r>
                    </w:p>
                  </w:txbxContent>
                </v:textbox>
                <w10:wrap type="square" side="left" anchorx="page"/>
              </v:shape>
            </w:pict>
          </mc:Fallback>
        </mc:AlternateContent>
      </w:r>
      <w:r>
        <w:rPr>
          <w:i/>
          <w:iCs/>
          <w:color w:val="000000"/>
          <w:spacing w:val="0"/>
          <w:w w:val="100"/>
          <w:position w:val="0"/>
          <w:shd w:val="clear" w:color="auto" w:fill="auto"/>
          <w:lang w:val="ru-RU" w:eastAsia="ru-RU" w:bidi="ru-RU"/>
        </w:rPr>
        <w:t>Настоящее решение может быть обжаловано в суде, течение трех месяцев в установленном законом порядке.</w:t>
      </w: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59" w:right="0" w:bottom="1166" w:left="0" w:header="0" w:footer="3" w:gutter="0"/>
          <w:cols w:space="720"/>
          <w:noEndnote/>
          <w:rtlGutter w:val="0"/>
          <w:docGrid w:linePitch="360"/>
        </w:sectPr>
      </w:pPr>
    </w:p>
    <w:p>
      <w:pPr>
        <w:pStyle w:val="Style16"/>
        <w:keepNext w:val="0"/>
        <w:keepLines w:val="0"/>
        <w:framePr w:w="2894" w:h="331" w:wrap="none" w:vAnchor="text" w:hAnchor="page" w:x="115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32"/>
        <w:keepNext w:val="0"/>
        <w:keepLines w:val="0"/>
        <w:framePr w:w="2712" w:h="403" w:wrap="none" w:vAnchor="text" w:hAnchor="page" w:x="4882" w:y="131"/>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4"/>
        <w:keepNext w:val="0"/>
        <w:keepLines w:val="0"/>
        <w:framePr w:w="2021" w:h="154" w:wrap="none" w:vAnchor="text" w:hAnchor="page" w:x="4954" w:y="62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p>
      <w:pPr>
        <w:pStyle w:val="Style16"/>
        <w:keepNext w:val="0"/>
        <w:keepLines w:val="0"/>
        <w:framePr w:w="1882" w:h="331" w:wrap="none" w:vAnchor="text" w:hAnchor="page" w:x="9490" w:y="33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О.В. Широкова</w:t>
      </w:r>
    </w:p>
    <w:p>
      <w:pPr>
        <w:widowControl w:val="0"/>
        <w:spacing w:line="360" w:lineRule="exact"/>
      </w:pPr>
      <w:r>
        <w:drawing>
          <wp:anchor distT="0" distB="0" distL="0" distR="1804670" simplePos="0" relativeHeight="62914696" behindDoc="1" locked="0" layoutInCell="1" allowOverlap="1">
            <wp:simplePos x="0" y="0"/>
            <wp:positionH relativeFrom="page">
              <wp:posOffset>2703195</wp:posOffset>
            </wp:positionH>
            <wp:positionV relativeFrom="paragraph">
              <wp:posOffset>12700</wp:posOffset>
            </wp:positionV>
            <wp:extent cx="316865" cy="365760"/>
            <wp:wrapNone/>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1"/>
                    <a:stretch/>
                  </pic:blipFill>
                  <pic:spPr>
                    <a:xfrm>
                      <a:ext cx="316865" cy="365760"/>
                    </a:xfrm>
                    <a:prstGeom prst="rect"/>
                  </pic:spPr>
                </pic:pic>
              </a:graphicData>
            </a:graphic>
          </wp:anchor>
        </w:drawing>
      </w:r>
    </w:p>
    <w:p>
      <w:pPr>
        <w:widowControl w:val="0"/>
        <w:spacing w:after="417" w:line="1" w:lineRule="exact"/>
      </w:pPr>
    </w:p>
    <w:p>
      <w:pPr>
        <w:widowControl w:val="0"/>
        <w:spacing w:line="1" w:lineRule="exact"/>
        <w:sectPr>
          <w:footnotePr>
            <w:pos w:val="pageBottom"/>
            <w:numFmt w:val="decimal"/>
            <w:numRestart w:val="continuous"/>
          </w:footnotePr>
          <w:type w:val="continuous"/>
          <w:pgSz w:w="11900" w:h="16840"/>
          <w:pgMar w:top="1459" w:right="517" w:bottom="1166" w:left="1106" w:header="0" w:footer="3" w:gutter="0"/>
          <w:cols w:space="720"/>
          <w:noEndnote/>
          <w:rtlGutter w:val="0"/>
          <w:docGrid w:linePitch="360"/>
        </w:sectPr>
      </w:pPr>
    </w:p>
    <w:p>
      <w:pPr>
        <w:pStyle w:val="Style36"/>
        <w:keepNext w:val="0"/>
        <w:keepLines w:val="0"/>
        <w:widowControl w:val="0"/>
        <w:shd w:val="clear" w:color="auto" w:fill="auto"/>
        <w:bidi w:val="0"/>
        <w:spacing w:before="0" w:after="0" w:line="240" w:lineRule="auto"/>
        <w:ind w:left="3140" w:right="0" w:firstLine="0"/>
        <w:jc w:val="both"/>
      </w:pPr>
      <w:r>
        <w:rPr>
          <w:color w:val="000000"/>
          <w:spacing w:val="0"/>
          <w:w w:val="100"/>
          <w:position w:val="0"/>
          <w:shd w:val="clear" w:color="auto" w:fill="auto"/>
          <w:lang w:val="ru-RU" w:eastAsia="ru-RU" w:bidi="ru-RU"/>
        </w:rPr>
        <w:t>Кому выдан: Широкова Ольга Владимировна</w:t>
      </w:r>
    </w:p>
    <w:p>
      <w:pPr>
        <w:pStyle w:val="Style36"/>
        <w:keepNext w:val="0"/>
        <w:keepLines w:val="0"/>
        <w:widowControl w:val="0"/>
        <w:shd w:val="clear" w:color="auto" w:fill="auto"/>
        <w:bidi w:val="0"/>
        <w:spacing w:before="0" w:after="0" w:line="240" w:lineRule="auto"/>
        <w:ind w:left="3140" w:right="0" w:firstLine="0"/>
        <w:jc w:val="both"/>
      </w:pPr>
      <w:r>
        <w:rPr>
          <w:color w:val="000000"/>
          <w:spacing w:val="0"/>
          <w:w w:val="100"/>
          <w:position w:val="0"/>
          <w:shd w:val="clear" w:color="auto" w:fill="auto"/>
          <w:lang w:val="ru-RU" w:eastAsia="ru-RU" w:bidi="ru-RU"/>
        </w:rPr>
        <w:t>Сертификат № 492А8328Е79Е9864ВЕ7СЕ095О6564ЕВС</w:t>
      </w:r>
    </w:p>
    <w:p>
      <w:pPr>
        <w:pStyle w:val="Style36"/>
        <w:keepNext w:val="0"/>
        <w:keepLines w:val="0"/>
        <w:widowControl w:val="0"/>
        <w:shd w:val="clear" w:color="auto" w:fill="auto"/>
        <w:bidi w:val="0"/>
        <w:spacing w:before="0" w:after="80" w:line="240" w:lineRule="auto"/>
        <w:ind w:left="3140" w:right="0" w:firstLine="0"/>
        <w:jc w:val="both"/>
      </w:pPr>
      <w:r>
        <w:rPr>
          <w:color w:val="000000"/>
          <w:spacing w:val="0"/>
          <w:w w:val="100"/>
          <w:position w:val="0"/>
          <w:shd w:val="clear" w:color="auto" w:fill="auto"/>
          <w:lang w:val="ru-RU" w:eastAsia="ru-RU" w:bidi="ru-RU"/>
        </w:rPr>
        <w:t>Действителен с 20.12.2023 по 14.03.2025</w:t>
      </w:r>
    </w:p>
    <w:p>
      <w:pPr>
        <w:pStyle w:val="Style1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714" w:right="3330" w:bottom="2348" w:left="1111" w:header="0" w:footer="3" w:gutter="0"/>
          <w:cols w:space="720"/>
          <w:noEndnote/>
          <w:rtlGutter w:val="0"/>
          <w:docGrid w:linePitch="360"/>
        </w:sectPr>
      </w:pPr>
      <w:r>
        <w:rPr>
          <w:color w:val="000000"/>
          <w:spacing w:val="0"/>
          <w:w w:val="100"/>
          <w:position w:val="0"/>
          <w:shd w:val="clear" w:color="auto" w:fill="auto"/>
          <w:lang w:val="ru-RU" w:eastAsia="ru-RU" w:bidi="ru-RU"/>
        </w:rPr>
        <w:t>Члены комиссии:</w:t>
      </w:r>
    </w:p>
    <w:p>
      <w:pPr>
        <w:pStyle w:val="Style32"/>
        <w:keepNext w:val="0"/>
        <w:keepLines w:val="0"/>
        <w:framePr w:w="2717" w:h="403" w:wrap="none" w:vAnchor="text" w:hAnchor="page" w:x="4882" w:y="136"/>
        <w:widowControl w:val="0"/>
        <w:shd w:val="clear" w:color="auto" w:fill="auto"/>
        <w:bidi w:val="0"/>
        <w:spacing w:before="0" w:after="0" w:line="214"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6"/>
        <w:keepNext w:val="0"/>
        <w:keepLines w:val="0"/>
        <w:framePr w:w="1522" w:h="331" w:wrap="none" w:vAnchor="text" w:hAnchor="page" w:x="9860" w:y="11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А.В. Лунёва</w:t>
      </w:r>
    </w:p>
    <w:p>
      <w:pPr>
        <w:widowControl w:val="0"/>
        <w:spacing w:after="570" w:line="1" w:lineRule="exact"/>
      </w:pPr>
      <w:r>
        <w:drawing>
          <wp:anchor distT="0" distB="0" distL="0" distR="1807210" simplePos="0" relativeHeight="62914697" behindDoc="1" locked="0" layoutInCell="1" allowOverlap="1">
            <wp:simplePos x="0" y="0"/>
            <wp:positionH relativeFrom="page">
              <wp:posOffset>2703195</wp:posOffset>
            </wp:positionH>
            <wp:positionV relativeFrom="paragraph">
              <wp:posOffset>12700</wp:posOffset>
            </wp:positionV>
            <wp:extent cx="316865" cy="365760"/>
            <wp:wrapNone/>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3"/>
                    <a:stretch/>
                  </pic:blipFill>
                  <pic:spPr>
                    <a:xfrm>
                      <a:ext cx="316865" cy="3657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459" w:right="517" w:bottom="1166" w:left="1106" w:header="0" w:footer="3" w:gutter="0"/>
          <w:cols w:space="720"/>
          <w:noEndnote/>
          <w:rtlGutter w:val="0"/>
          <w:docGrid w:linePitch="360"/>
        </w:sectPr>
      </w:pPr>
    </w:p>
    <w:p>
      <w:pPr>
        <w:pStyle w:val="Style3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ru-RU" w:eastAsia="ru-RU" w:bidi="ru-RU"/>
        </w:rPr>
        <w:t>Кому выдан: Лунёва Анастасия Владимировна Сертификат № 4С7Е57О0ВЕО95ЕСЕ77В318ЕОЕ7066225</w:t>
      </w:r>
    </w:p>
    <w:p>
      <w:pPr>
        <w:pStyle w:val="Style36"/>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ru-RU" w:eastAsia="ru-RU" w:bidi="ru-RU"/>
        </w:rPr>
        <w:t>Действителен с 28.05.2024 по 21.08.2025</w:t>
      </w:r>
    </w:p>
    <w:p>
      <w:pPr>
        <w:widowControl w:val="0"/>
        <w:spacing w:line="1" w:lineRule="exact"/>
        <w:sectPr>
          <w:footnotePr>
            <w:pos w:val="pageBottom"/>
            <w:numFmt w:val="decimal"/>
            <w:numRestart w:val="continuous"/>
          </w:footnotePr>
          <w:type w:val="continuous"/>
          <w:pgSz w:w="11900" w:h="16840"/>
          <w:pgMar w:top="1714" w:right="4324" w:bottom="2348" w:left="4250" w:header="0" w:footer="3" w:gutter="0"/>
          <w:cols w:space="720"/>
          <w:noEndnote/>
          <w:rtlGutter w:val="0"/>
          <w:docGrid w:linePitch="360"/>
        </w:sectPr>
      </w:pPr>
      <w:r>
        <w:drawing>
          <wp:anchor distT="184150" distB="635" distL="0" distR="1801495" simplePos="0" relativeHeight="125829384" behindDoc="0" locked="0" layoutInCell="1" allowOverlap="1">
            <wp:simplePos x="0" y="0"/>
            <wp:positionH relativeFrom="page">
              <wp:posOffset>2715260</wp:posOffset>
            </wp:positionH>
            <wp:positionV relativeFrom="paragraph">
              <wp:posOffset>184150</wp:posOffset>
            </wp:positionV>
            <wp:extent cx="311150" cy="35941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ext cx="31115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3108325</wp:posOffset>
                </wp:positionH>
                <wp:positionV relativeFrom="paragraph">
                  <wp:posOffset>254000</wp:posOffset>
                </wp:positionV>
                <wp:extent cx="1718945" cy="255905"/>
                <wp:wrapNone/>
                <wp:docPr id="20" name="Shape 20"/>
                <a:graphic xmlns:a="http://schemas.openxmlformats.org/drawingml/2006/main">
                  <a:graphicData uri="http://schemas.microsoft.com/office/word/2010/wordprocessingShape">
                    <wps:wsp>
                      <wps:cNvSpPr txBox="1"/>
                      <wps:spPr>
                        <a:xfrm>
                          <a:ext cx="1718945" cy="255905"/>
                        </a:xfrm>
                        <a:prstGeom prst="rect"/>
                        <a:noFill/>
                      </wps:spPr>
                      <wps:txbx>
                        <w:txbxContent>
                          <w:p>
                            <w:pPr>
                              <w:pStyle w:val="Style32"/>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4.75pt;margin-top:20.pt;width:135.34999999999999pt;height:20.150000000000002pt;z-index:251657729;mso-wrap-distance-left:0;mso-wrap-distance-right:0;mso-position-horizontal-relative:page" filled="f" stroked="f">
                <v:textbox inset="0,0,0,0">
                  <w:txbxContent>
                    <w:p>
                      <w:pPr>
                        <w:pStyle w:val="Style32"/>
                        <w:keepNext w:val="0"/>
                        <w:keepLines w:val="0"/>
                        <w:widowControl w:val="0"/>
                        <w:shd w:val="clear" w:color="auto" w:fill="auto"/>
                        <w:bidi w:val="0"/>
                        <w:spacing w:before="0" w:after="0" w:line="221" w:lineRule="auto"/>
                        <w:ind w:left="0" w:right="0" w:firstLine="0"/>
                        <w:jc w:val="left"/>
                      </w:pPr>
                      <w:r>
                        <w:rPr>
                          <w:color w:val="000000"/>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8100" distB="295910" distL="0" distR="0" simplePos="0" relativeHeight="125829385" behindDoc="0" locked="0" layoutInCell="1" allowOverlap="1">
                <wp:simplePos x="0" y="0"/>
                <wp:positionH relativeFrom="page">
                  <wp:posOffset>6089650</wp:posOffset>
                </wp:positionH>
                <wp:positionV relativeFrom="paragraph">
                  <wp:posOffset>38100</wp:posOffset>
                </wp:positionV>
                <wp:extent cx="1130935" cy="210185"/>
                <wp:wrapTopAndBottom/>
                <wp:docPr id="22" name="Shape 22"/>
                <a:graphic xmlns:a="http://schemas.openxmlformats.org/drawingml/2006/main">
                  <a:graphicData uri="http://schemas.microsoft.com/office/word/2010/wordprocessingShape">
                    <wps:wsp>
                      <wps:cNvSpPr txBox="1"/>
                      <wps:spPr>
                        <a:xfrm>
                          <a:ext cx="1130935"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И.А. Ортээлек</w:t>
                            </w:r>
                          </w:p>
                        </w:txbxContent>
                      </wps:txbx>
                      <wps:bodyPr wrap="none" lIns="0" tIns="0" rIns="0" bIns="0">
                        <a:noAutoFit/>
                      </wps:bodyPr>
                    </wps:wsp>
                  </a:graphicData>
                </a:graphic>
              </wp:anchor>
            </w:drawing>
          </mc:Choice>
          <mc:Fallback>
            <w:pict>
              <v:shape id="_x0000_s1048" type="#_x0000_t202" style="position:absolute;margin-left:479.5pt;margin-top:3.pt;width:89.049999999999997pt;height:16.550000000000001pt;z-index:-125829368;mso-wrap-distance-left:0;mso-wrap-distance-top:3.pt;mso-wrap-distance-right:0;mso-wrap-distance-bottom:23.3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И.А. Ортээлек</w:t>
                      </w:r>
                    </w:p>
                  </w:txbxContent>
                </v:textbox>
                <w10:wrap type="topAndBottom" anchorx="page"/>
              </v:shape>
            </w:pict>
          </mc:Fallback>
        </mc:AlternateContent>
      </w:r>
    </w:p>
    <w:p>
      <w:pPr>
        <w:pStyle w:val="Style3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Кому выдан: Ортээлек Игорь Андреевич</w:t>
      </w:r>
    </w:p>
    <w:p>
      <w:pPr>
        <w:pStyle w:val="Style3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Сертификат № 00ВАВ55Е7О720Ю005747ВВ79Е97СЕОЗОЕ</w:t>
      </w:r>
    </w:p>
    <w:p>
      <w:pPr>
        <w:pStyle w:val="Style3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714" w:right="4155" w:bottom="2348" w:left="4264" w:header="0" w:footer="3" w:gutter="0"/>
          <w:cols w:space="720"/>
          <w:noEndnote/>
          <w:rtlGutter w:val="0"/>
          <w:docGrid w:linePitch="360"/>
        </w:sectPr>
      </w:pPr>
      <w:r>
        <w:rPr>
          <w:color w:val="000000"/>
          <w:spacing w:val="0"/>
          <w:w w:val="100"/>
          <w:position w:val="0"/>
          <w:shd w:val="clear" w:color="auto" w:fill="auto"/>
          <w:lang w:val="ru-RU" w:eastAsia="ru-RU" w:bidi="ru-RU"/>
        </w:rPr>
        <w:t>Действителен с 10.09.2024 по 04.12.2025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 w:after="1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714" w:right="0" w:bottom="1714" w:left="0"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Исп.Ортээлек И.А.</w:t>
      </w:r>
    </w:p>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тел.8(3902)22-66-21, 019-111</w:t>
      </w:r>
    </w:p>
    <w:sectPr>
      <w:footnotePr>
        <w:pos w:val="pageBottom"/>
        <w:numFmt w:val="decimal"/>
        <w:numRestart w:val="continuous"/>
      </w:footnotePr>
      <w:type w:val="continuous"/>
      <w:pgSz w:w="11900" w:h="16840"/>
      <w:pgMar w:top="1714" w:right="8068" w:bottom="171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9986645</wp:posOffset>
              </wp:positionV>
              <wp:extent cx="636905" cy="100330"/>
              <wp:wrapNone/>
              <wp:docPr id="4" name="Shape 4"/>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2024-9263</w:t>
                          </w:r>
                        </w:p>
                      </w:txbxContent>
                    </wps:txbx>
                    <wps:bodyPr wrap="none" lIns="0" tIns="0" rIns="0" bIns="0">
                      <a:spAutoFit/>
                    </wps:bodyPr>
                  </wps:wsp>
                </a:graphicData>
              </a:graphic>
            </wp:anchor>
          </w:drawing>
        </mc:Choice>
        <mc:Fallback>
          <w:pict>
            <v:shape id="_x0000_s1030" type="#_x0000_t202" style="position:absolute;margin-left:57.200000000000003pt;margin-top:786.35000000000002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2024-9263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9857740</wp:posOffset>
              </wp:positionV>
              <wp:extent cx="636905" cy="100330"/>
              <wp:wrapNone/>
              <wp:docPr id="6" name="Shape 6"/>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2024-9263</w:t>
                          </w:r>
                        </w:p>
                      </w:txbxContent>
                    </wps:txbx>
                    <wps:bodyPr wrap="none" lIns="0" tIns="0" rIns="0" bIns="0">
                      <a:spAutoFit/>
                    </wps:bodyPr>
                  </wps:wsp>
                </a:graphicData>
              </a:graphic>
            </wp:anchor>
          </w:drawing>
        </mc:Choice>
        <mc:Fallback>
          <w:pict>
            <v:shape id="_x0000_s1032" type="#_x0000_t202" style="position:absolute;margin-left:57.200000000000003pt;margin-top:776.20000000000005pt;width:50.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2024-9263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732790</wp:posOffset>
              </wp:positionV>
              <wp:extent cx="128270" cy="100330"/>
              <wp:wrapNone/>
              <wp:docPr id="2" name="Shape 2"/>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30000000000001pt;margin-top:57.700000000000003pt;width:1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D608C"/>
      <w:sz w:val="16"/>
      <w:szCs w:val="16"/>
      <w:u w:val="none"/>
    </w:rPr>
  </w:style>
  <w:style w:type="character" w:customStyle="1" w:styleId="CharStyle9">
    <w:name w:val="Основной текст (6)_"/>
    <w:basedOn w:val="DefaultParagraphFont"/>
    <w:link w:val="Style8"/>
    <w:rPr>
      <w:rFonts w:ascii="Times New Roman" w:eastAsia="Times New Roman" w:hAnsi="Times New Roman" w:cs="Times New Roman"/>
      <w:b/>
      <w:bCs/>
      <w:i w:val="0"/>
      <w:iCs w:val="0"/>
      <w:smallCaps w:val="0"/>
      <w:strike w:val="0"/>
      <w:color w:val="4D608C"/>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Заголовок №3_"/>
    <w:basedOn w:val="DefaultParagraphFont"/>
    <w:link w:val="Style14"/>
    <w:rPr>
      <w:rFonts w:ascii="Times New Roman" w:eastAsia="Times New Roman" w:hAnsi="Times New Roman" w:cs="Times New Roman"/>
      <w:b/>
      <w:bCs/>
      <w:i w:val="0"/>
      <w:iCs w:val="0"/>
      <w:smallCaps w:val="0"/>
      <w:strike w:val="0"/>
      <w:sz w:val="26"/>
      <w:szCs w:val="26"/>
      <w:u w:val="non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Основной текст (4)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Заголовок №1_"/>
    <w:basedOn w:val="DefaultParagraphFont"/>
    <w:link w:val="Style26"/>
    <w:rPr>
      <w:rFonts w:ascii="Arial" w:eastAsia="Arial" w:hAnsi="Arial" w:cs="Arial"/>
      <w:b w:val="0"/>
      <w:bCs w:val="0"/>
      <w:i w:val="0"/>
      <w:iCs w:val="0"/>
      <w:smallCaps w:val="0"/>
      <w:strike w:val="0"/>
      <w:sz w:val="56"/>
      <w:szCs w:val="56"/>
      <w:u w:val="none"/>
    </w:rPr>
  </w:style>
  <w:style w:type="character" w:customStyle="1" w:styleId="CharStyle33">
    <w:name w:val="Подпись к картинке_"/>
    <w:basedOn w:val="DefaultParagraphFont"/>
    <w:link w:val="Style32"/>
    <w:rPr>
      <w:rFonts w:ascii="Times New Roman" w:eastAsia="Times New Roman" w:hAnsi="Times New Roman" w:cs="Times New Roman"/>
      <w:b w:val="0"/>
      <w:bCs w:val="0"/>
      <w:i w:val="0"/>
      <w:iCs w:val="0"/>
      <w:smallCaps w:val="0"/>
      <w:strike w:val="0"/>
      <w:sz w:val="12"/>
      <w:szCs w:val="12"/>
      <w:u w:val="none"/>
    </w:rPr>
  </w:style>
  <w:style w:type="character" w:customStyle="1" w:styleId="CharStyle35">
    <w:name w:val="Основной текст (5)_"/>
    <w:basedOn w:val="DefaultParagraphFont"/>
    <w:link w:val="Style34"/>
    <w:rPr>
      <w:rFonts w:ascii="Georgia" w:eastAsia="Georgia" w:hAnsi="Georgia" w:cs="Georgia"/>
      <w:b w:val="0"/>
      <w:bCs w:val="0"/>
      <w:i w:val="0"/>
      <w:iCs w:val="0"/>
      <w:smallCaps w:val="0"/>
      <w:strike w:val="0"/>
      <w:color w:val="EBEBEB"/>
      <w:sz w:val="12"/>
      <w:szCs w:val="12"/>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40" w:line="276" w:lineRule="auto"/>
      <w:jc w:val="center"/>
    </w:pPr>
    <w:rPr>
      <w:rFonts w:ascii="Times New Roman" w:eastAsia="Times New Roman" w:hAnsi="Times New Roman" w:cs="Times New Roman"/>
      <w:b w:val="0"/>
      <w:bCs w:val="0"/>
      <w:i w:val="0"/>
      <w:iCs w:val="0"/>
      <w:smallCaps w:val="0"/>
      <w:strike w:val="0"/>
      <w:color w:val="4D608C"/>
      <w:sz w:val="16"/>
      <w:szCs w:val="16"/>
      <w:u w:val="none"/>
    </w:rPr>
  </w:style>
  <w:style w:type="paragraph" w:customStyle="1" w:styleId="Style8">
    <w:name w:val="Основной текст (6)"/>
    <w:basedOn w:val="Normal"/>
    <w:link w:val="CharStyle9"/>
    <w:pPr>
      <w:widowControl w:val="0"/>
      <w:shd w:val="clear" w:color="auto" w:fill="auto"/>
      <w:spacing w:after="160"/>
      <w:jc w:val="center"/>
    </w:pPr>
    <w:rPr>
      <w:rFonts w:ascii="Times New Roman" w:eastAsia="Times New Roman" w:hAnsi="Times New Roman" w:cs="Times New Roman"/>
      <w:b/>
      <w:bCs/>
      <w:i w:val="0"/>
      <w:iCs w:val="0"/>
      <w:smallCaps w:val="0"/>
      <w:strike w:val="0"/>
      <w:color w:val="4D608C"/>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Заголовок №3"/>
    <w:basedOn w:val="Normal"/>
    <w:link w:val="CharStyle15"/>
    <w:pPr>
      <w:widowControl w:val="0"/>
      <w:shd w:val="clear" w:color="auto" w:fill="auto"/>
      <w:spacing w:after="360" w:line="298" w:lineRule="auto"/>
      <w:jc w:val="center"/>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16">
    <w:name w:val="Основной текст"/>
    <w:basedOn w:val="Normal"/>
    <w:link w:val="CharStyle17"/>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Основной текст (4)"/>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22">
    <w:name w:val="Подпись к таблице"/>
    <w:basedOn w:val="Normal"/>
    <w:link w:val="CharStyle23"/>
    <w:pPr>
      <w:widowControl w:val="0"/>
      <w:shd w:val="clear" w:color="auto" w:fill="auto"/>
      <w:spacing w:line="298" w:lineRule="auto"/>
      <w:ind w:firstLine="560"/>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Другое"/>
    <w:basedOn w:val="Normal"/>
    <w:link w:val="CharStyle25"/>
    <w:pPr>
      <w:widowControl w:val="0"/>
      <w:shd w:val="clear" w:color="auto" w:fill="auto"/>
      <w:spacing w:line="298"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Заголовок №1"/>
    <w:basedOn w:val="Normal"/>
    <w:link w:val="CharStyle27"/>
    <w:pPr>
      <w:widowControl w:val="0"/>
      <w:shd w:val="clear" w:color="auto" w:fill="auto"/>
      <w:spacing w:after="300" w:line="233" w:lineRule="auto"/>
      <w:outlineLvl w:val="0"/>
    </w:pPr>
    <w:rPr>
      <w:rFonts w:ascii="Arial" w:eastAsia="Arial" w:hAnsi="Arial" w:cs="Arial"/>
      <w:b w:val="0"/>
      <w:bCs w:val="0"/>
      <w:i w:val="0"/>
      <w:iCs w:val="0"/>
      <w:smallCaps w:val="0"/>
      <w:strike w:val="0"/>
      <w:sz w:val="56"/>
      <w:szCs w:val="56"/>
      <w:u w:val="none"/>
    </w:rPr>
  </w:style>
  <w:style w:type="paragraph" w:customStyle="1" w:styleId="Style32">
    <w:name w:val="Подпись к картинке"/>
    <w:basedOn w:val="Normal"/>
    <w:link w:val="CharStyle33"/>
    <w:pPr>
      <w:widowControl w:val="0"/>
      <w:shd w:val="clear" w:color="auto" w:fill="auto"/>
      <w:spacing w:line="218" w:lineRule="auto"/>
    </w:pPr>
    <w:rPr>
      <w:rFonts w:ascii="Times New Roman" w:eastAsia="Times New Roman" w:hAnsi="Times New Roman" w:cs="Times New Roman"/>
      <w:b w:val="0"/>
      <w:bCs w:val="0"/>
      <w:i w:val="0"/>
      <w:iCs w:val="0"/>
      <w:smallCaps w:val="0"/>
      <w:strike w:val="0"/>
      <w:sz w:val="12"/>
      <w:szCs w:val="12"/>
      <w:u w:val="none"/>
    </w:rPr>
  </w:style>
  <w:style w:type="paragraph" w:customStyle="1" w:styleId="Style34">
    <w:name w:val="Основной текст (5)"/>
    <w:basedOn w:val="Normal"/>
    <w:link w:val="CharStyle35"/>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36">
    <w:name w:val="Основной текст (2)"/>
    <w:basedOn w:val="Normal"/>
    <w:link w:val="CharStyle37"/>
    <w:pPr>
      <w:widowControl w:val="0"/>
      <w:shd w:val="clear" w:color="auto" w:fill="auto"/>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08.08.2024)"О контрактной системе в сфере закупок товаров, работ, услуг для обеспечения государственных и муниципальных нужд"(с изм. и доп., вступ. в силу с 01.10.2024)</dc:title>
  <dc:subject/>
  <dc:creator/>
  <cp:keywords/>
</cp:coreProperties>
</file>