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90" w:right="536" w:bottom="93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88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  <w:br/>
        <w:t>тел. (831) 431-73-73, (831) 431-73-83</w:t>
        <w:br/>
      </w: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е-шаП: 1о52@,Га8.доу.ги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ИБ/18340/2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ИП Давыдова Анна Николаевна </w:t>
      </w:r>
      <w:r>
        <w:fldChar w:fldCharType="begin"/>
      </w:r>
      <w:r>
        <w:rPr/>
        <w:instrText> HYPERLINK "mailto:anya-ilyushina@mail.ru"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апуа41уи8Ыпа@,таП. ги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Государственное бюджетное учреждение «Социально-реабилитационный центр для несовершеннолетних „Благовест“ городского округа Перевозский»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6"/>
          <w:szCs w:val="26"/>
        </w:rPr>
      </w:pPr>
      <w:r>
        <w:fldChar w:fldCharType="begin"/>
      </w:r>
      <w:r>
        <w:rPr/>
        <w:instrText> HYPERLINK "mailto:blagovest@soc.pvz.nnov.ru"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Ыадо&lt;с81@8осд&lt;/.ппоути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ЭТП «Фабрикант»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714" w:bottom="2302" w:left="1140" w:header="0" w:footer="3" w:gutter="0"/>
          <w:cols w:num="2" w:space="720" w:equalWidth="0">
            <w:col w:w="4330" w:space="931"/>
            <w:col w:w="4786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123112, город Москва, улица Тестовская, дом 10, этаж 25, помещение 1, комната 1 р!о@е1р/.ги,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тГо@ГаЪпкап1:.ги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жалобе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№052/06/105-2449/2024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№ 052/06/105-2449/2024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383665" cy="21971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366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01 октября 2024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1.pt;width:108.95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01 октября 2024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35"/>
        <w:gridCol w:w="8203"/>
      </w:tblGrid>
      <w:tr>
        <w:trPr>
          <w:trHeight w:val="88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Баранов И.В.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Войнова М.К.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председатель комиссии, заместитель руководителя управления;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 комиссии, ведущий специалист-эксперт отдела контроля государственных и муниципальных закупок,</w:t>
            </w:r>
          </w:p>
        </w:tc>
      </w:tr>
      <w:tr>
        <w:trPr>
          <w:trHeight w:val="56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Полещук Е.М.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 комиссии, специалист-эксперт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319" w:line="1" w:lineRule="exact"/>
      </w:pPr>
    </w:p>
    <w:p>
      <w:pPr>
        <w:widowControl w:val="0"/>
        <w:spacing w:line="1" w:lineRule="exact"/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посредством видео-конференц-связи:</w:t>
      </w:r>
    </w:p>
    <w:tbl>
      <w:tblPr>
        <w:tblOverlap w:val="never"/>
        <w:jc w:val="center"/>
        <w:tblLayout w:type="fixed"/>
      </w:tblPr>
      <w:tblGrid>
        <w:gridCol w:w="2126"/>
        <w:gridCol w:w="8131"/>
      </w:tblGrid>
      <w:tr>
        <w:trPr>
          <w:trHeight w:val="118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Давыдовой А.Н.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Сорокиной Т.И.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ИП Давыдова А.Н.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представитель ГБУ «Социально-реабилитационный центр для несовершеннолетних „Благовест“ городского округа Перевозский» (по доверенности №01-15-55/24 от 30.09.2024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жалобу индивидуального предпринимателя Давыдовой Анны Николаевны (далее также - общество, заявитель) о нарушении Государственного бюджетного учреждения «Социально-реабилитационный центр для несовершеннолетних „Благовест“ городского округа Перевозский» (далее также — заказчик) требований законодательства Российской Федерации 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контрактной системе в сфере закупок при осуществлении закупки путем проведения электронного аукциона для обеспечения нужд заказчика,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 контрактной системе при осуществлении закупки: «покупка резервного источника питания», номер извещения 0332200004324000004 (далее также - закупка).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действия заказчика не соответствуют требованиям положений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18.09.2024 в единой информационной системе и на сайте электронной площадки — «Фабрикант» - размещено извещение о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- 1 256 656,67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описание объекта закупки не соответствует требованиям Закона о контрактной системе: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3" w:val="left"/>
        </w:tabs>
        <w:bidi w:val="0"/>
        <w:spacing w:before="0" w:after="30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структурированной форме описания объекта закупки указано:</w:t>
      </w:r>
    </w:p>
    <w:tbl>
      <w:tblPr>
        <w:tblOverlap w:val="never"/>
        <w:jc w:val="center"/>
        <w:tblLayout w:type="fixed"/>
      </w:tblPr>
      <w:tblGrid>
        <w:gridCol w:w="3408"/>
        <w:gridCol w:w="3403"/>
        <w:gridCol w:w="3408"/>
      </w:tblGrid>
      <w:tr>
        <w:trPr>
          <w:trHeight w:val="103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Тип двигателя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Бензиновый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1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Однако в файле «Наименование и описание объекта закупки» указано:</w:t>
      </w:r>
    </w:p>
    <w:p>
      <w:pPr>
        <w:widowControl w:val="0"/>
        <w:spacing w:after="359" w:line="1" w:lineRule="exact"/>
      </w:pP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360" w:line="240" w:lineRule="auto"/>
        <w:ind w:left="184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5200650</wp:posOffset>
                </wp:positionH>
                <wp:positionV relativeFrom="paragraph">
                  <wp:posOffset>12700</wp:posOffset>
                </wp:positionV>
                <wp:extent cx="755650" cy="21653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56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Дизельный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09.5pt;margin-top:1.pt;width:59.5pt;height:17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Дизельный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Тип двигателя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файле «Наименование и описание объекта закупки» указано: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Поставщик обязуется обеспечить выполнение оказание следующих услуг, связанных с поставкой товара: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-произвести установку на свободный, существующий фундамент и закрепление, обеспечивающее дальнейшую надёжную работу дизельгенератора;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23.09.2024 14:33 на официальном сайте Заказчиком опубликован ответ на запрос разъяснений, содержащий следующую информацию: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«Установка фундамента для закрепления дизельного генератора для дальнейшей надежной работы устанавливается за счет средств поставщика.»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 1 части 2 статьи 42 Закона о контрактной системе устанавливает, что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 1 части 1 статьи 33 Закона о контрактной системе устанавливает,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Заказчика на заседании Комиссии Управления Федеральной антимонопольной службы по Нижегородской области не опроверг данные доводы и признал, что разночтение в Извещении и Структурированной форме допущено в силу ошибки, в виду установления КТРУ 27.11.3 - Тип двигателя Бензиновый.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Аналогично признал допущенную ошибку в проекте контракта, относительно способа установки дизельного генератора.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жалобы признан 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Комиссии Нижегородского УФАС России, нарушения допущенные заказчиком в ходе проведения закупочной процедуры в данном случае могут быть устранены только путем отмены всех протоколов, составленных в ходе проведения рассматриваемой закупки, внесения изменений в извещение и проведения процедуры определения поставщика (подрядчика, исполнителя) повторно, Комиссия Нижегородского УФАС России приходит к выводу о необходимости и целесообразности выдачи соответствующего предписания.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руководствуясь частью 8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индивидуального предпринимателя Давыдовой Анны Николаевны о нарушении Государственного бюджетного учреждения «Социально-реабилитационный центр для несовершеннолетних „Благовест“ городского округа Перевозский» требований законодательства Российской Федерации о контрактной системе в сфере закупок при осуществлении закупки путем проведения электронного аукциона по объекту закупки: «покупка резервного источника питания», номер извещения 0332200004324000004,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требования части 2 статьи 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заказчику, аукционной комиссии и оператору электронной площадки предписание об устранении допущенных нарушений.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4" w:val="left"/>
        </w:tabs>
        <w:bidi w:val="0"/>
        <w:spacing w:before="0" w:after="38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дела уполномоченному должностному лицу для рассмотрения вопроса о возможности возбуждения административного производства по признакам совершения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административного правонарушения.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70" w:right="533" w:bottom="1700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200660" distL="0" distR="0" simplePos="0" relativeHeight="125829382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342900</wp:posOffset>
                </wp:positionV>
                <wp:extent cx="182880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899999999999999pt;margin-top:27.pt;width:144.pt;height:19.699999999999999pt;z-index:-125829371;mso-wrap-distance-left:0;mso-wrap-distance-top:27.pt;mso-wrap-distance-right:0;mso-wrap-distance-bottom:15.8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34340" distB="0" distL="0" distR="1804670" simplePos="0" relativeHeight="125829384" behindDoc="0" locked="0" layoutInCell="1" allowOverlap="1">
            <wp:simplePos x="0" y="0"/>
            <wp:positionH relativeFrom="page">
              <wp:posOffset>3149600</wp:posOffset>
            </wp:positionH>
            <wp:positionV relativeFrom="paragraph">
              <wp:posOffset>434340</wp:posOffset>
            </wp:positionV>
            <wp:extent cx="311150" cy="3594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3542665</wp:posOffset>
                </wp:positionH>
                <wp:positionV relativeFrom="paragraph">
                  <wp:posOffset>504190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8.94999999999999pt;margin-top:39.7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200660" distL="0" distR="0" simplePos="0" relativeHeight="125829385" behindDoc="0" locked="0" layoutInCell="1" allowOverlap="1">
                <wp:simplePos x="0" y="0"/>
                <wp:positionH relativeFrom="page">
                  <wp:posOffset>6188075</wp:posOffset>
                </wp:positionH>
                <wp:positionV relativeFrom="paragraph">
                  <wp:posOffset>342900</wp:posOffset>
                </wp:positionV>
                <wp:extent cx="102743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Баранов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7.25pt;margin-top:27.pt;width:80.900000000000006pt;height:19.699999999999999pt;z-index:-125829368;mso-wrap-distance-left:0;mso-wrap-distance-top:27.pt;mso-wrap-distance-right:0;mso-wrap-distance-bottom:15.8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Баранов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0606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Баранов Илья Валерьевич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0082300Е3459882163В2В99ВЕ04Е606Е6Е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1" w:right="532" w:bottom="165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235" distL="0" distR="0" simplePos="0" relativeHeight="125829387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899999999999999pt;margin-top:7.pt;width:105.60000000000001pt;height:19.699999999999999pt;z-index:-125829366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9" behindDoc="0" locked="0" layoutInCell="1" allowOverlap="1">
            <wp:simplePos x="0" y="0"/>
            <wp:positionH relativeFrom="page">
              <wp:posOffset>3128010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3585210</wp:posOffset>
                </wp:positionH>
                <wp:positionV relativeFrom="paragraph">
                  <wp:posOffset>564515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2.30000000000001pt;margin-top:44.450000000000003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3542665</wp:posOffset>
                </wp:positionH>
                <wp:positionV relativeFrom="paragraph">
                  <wp:posOffset>250190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8.94999999999999pt;margin-top:19.69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235" distL="0" distR="0" simplePos="0" relativeHeight="125829390" behindDoc="0" locked="0" layoutInCell="1" allowOverlap="1">
                <wp:simplePos x="0" y="0"/>
                <wp:positionH relativeFrom="page">
                  <wp:posOffset>6127115</wp:posOffset>
                </wp:positionH>
                <wp:positionV relativeFrom="paragraph">
                  <wp:posOffset>88900</wp:posOffset>
                </wp:positionV>
                <wp:extent cx="1094105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М.К. Войнова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2.44999999999999pt;margin-top:7.pt;width:86.150000000000006pt;height:19.699999999999999pt;z-index:-125829363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М.К. Войнова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0606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Войнова Мария Константиновна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№ 20ОА7С6Е61АСВЕ916СЕ69838В51ОЕА91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26.03.2024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>19.06.2025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92" behindDoc="0" locked="0" layoutInCell="1" allowOverlap="1">
            <wp:simplePos x="0" y="0"/>
            <wp:positionH relativeFrom="page">
              <wp:posOffset>3128010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3585210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2.30000000000001pt;margin-top:36.70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3542665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8.94999999999999pt;margin-top:12.20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Е.М. Полещук</w:t>
      </w:r>
      <w:bookmarkEnd w:id="10"/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0606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Полещук Евгений Максимович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0080В8В2А70668512Е203Е36ЕБЕ0804СВ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54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18.09.2024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>12.12.2025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Исп.Войнова М.К.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вн.052-707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71" w:right="532" w:bottom="165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781050</wp:posOffset>
              </wp:positionH>
              <wp:positionV relativeFrom="page">
                <wp:posOffset>10174605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2024-20822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5pt;margin-top:801.14999999999998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2024-20822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2024-20822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90.35000000000002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2024-20822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631190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5000000000003pt;margin-top:49.700000000000003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Заголовок №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Подпись к таблиц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1">
    <w:name w:val="Основной текст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auto"/>
      <w:jc w:val="right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Подпись к таблице"/>
    <w:basedOn w:val="Normal"/>
    <w:link w:val="CharStyle2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100"/>
      <w:ind w:left="45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0">
    <w:name w:val="Основной текст (2)"/>
    <w:basedOn w:val="Normal"/>
    <w:link w:val="CharStyle31"/>
    <w:pPr>
      <w:widowControl w:val="0"/>
      <w:shd w:val="clear" w:color="auto" w:fill="auto"/>
      <w:ind w:left="38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Саратовского УФАС России от 03.06.2024 N 064/06/33-740/2024Суть жалобы: Заявитель не смог подать заявку на участие в электронном аукционе в связи с тем, что в приложенном к извещению описании объекта закупки и структурированной форме в ЕИС имеются разногласия и разночтения в параметрах объекта.Решение: Жалоба признана обоснованной, поскольку заказчиком допущено нарушение п. 1 ч. 1 ст. 33 Закона о контрактной системе.</dc:title>
  <dc:subject/>
  <dc:creator/>
  <cp:keywords/>
</cp:coreProperties>
</file>