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10385" distL="967740" distR="976630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928370</wp:posOffset>
                </wp:positionH>
                <wp:positionV relativeFrom="paragraph">
                  <wp:posOffset>728980</wp:posOffset>
                </wp:positionV>
                <wp:extent cx="2249170" cy="17068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706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  <w:br/>
                              <w:t>е-тай: 1о61@Га5.§оу.П1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42" w:val="left"/>
                              </w:tabs>
                              <w:bidi w:val="0"/>
                              <w:spacing w:before="0"/>
                              <w:ind w:left="0" w:right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штамп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4561A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3.100000000000009pt;margin-top:57.399999999999999pt;width:177.09999999999999pt;height:134.40000000000001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  <w:br/>
                        <w:t>е-тай: 1о61@Га5.§оу.П1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42" w:val="left"/>
                        </w:tabs>
                        <w:bidi w:val="0"/>
                        <w:spacing w:before="0"/>
                        <w:ind w:left="0" w:right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штамп 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4561A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"Брокер Групп"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Пензенская, 57, кв.2, г.Пермь, Пермский край, 614042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26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ооо.!епдег.Ьгокег77@дтаП .сот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"РТС-тендер"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26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БЮДЖЕТНОЕ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УЧРЕЖДЕНИЕ "СПОРТИВНАЯ ШКОЛА Г. РОСТОВА-НА-ДОНУ "ГРЕБНОЙ КАНАЛ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"ДОН"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344002, Ростов-на-Дону г, ул. Пойменная, 2/А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532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гдк2033@уапдех.ги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дела</w:t>
        <w:br/>
        <w:t>№061/06/42-3472/2024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0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  <w:tab/>
        <w:t>г. Ростов-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на-Дону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62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С.В. Батурин,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62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А.А. Вертий,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В.Д. Кириленко, рассмотрев дело № 061/06/42-3472/2024 по жалобе ООО «Брокер Групп» (далее —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Заявителя) о нарушении МБУДО «Спортивная школа г.Ростова-на-Дону «Гребной канал «Дон» (далее — Заказчик) при проведении открытого конкурса в электронной форме №0358300354424000012 «Работы по разработке проектно-сметной документации с получением положительного заключения государственной экспертизы в части проверки достоверности определения сметной стоимости по объекту: «Благоустройство территории - обустройство двух футбольных полей на территории МБУ ДО «Гребной канал «Дон» по адресу: г. Ростов-на-Дону, ул. Пойменная, 2А»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при участии представителей Заказчика — Гулакова А.К. (приказ от 17.10.2023), Яковлевой Е.П. (доверенность от 13.08.2024), Малеевой Л.О. (доверенность от 27.09.2024), в отсутствие представителя Заявителя, уведомлен надлежащим образом,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Ростовское УФАС России поступила жалоба Заявителя на действия МБУДО «Спортивная школа г.Ростова-на-Дону «Гребной канал «Дон». Заказчик в возражениях на жалобу представил пояснения по доводам жалобы.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ПНИ IIIIIIIIIII1111111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ч.ч.1,3 ст.99 Закона в ходе рассмотрения дела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rPr>
          <w:smallCap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/акирк1 .доу.ги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06.09.2024 размещено извещение о проведении закупки, согласно которому: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-установлены дата и время окончания подачи заявок - 23.09.2024 09:00 (МСК);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-начальная (максимальная) цена контракта (НМЦК) составила 2 113 333,00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жалобы Заявителя, Заказчиком в нарушение ч. 6 ст. 31 Закона установлены дополнительные требования к участникам закупки в соответствии с положениями Постановления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№2571).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п.12 ч.1 ст.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1 статьи 31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настоящего Федерального закона, требования, предъявляемые к участникам закупки в соответствии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частями 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1.1 статьи 31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настоящего Федерального закона (при наличии такого требования).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Одним из требований к участникам закупки, предусмотренным ч.1 ст.31 Закона, является соответствие участника закупки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 2 ст. 31 Закона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дополнительные требования,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том числе к наличию: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4 ст.31 Закона предусмотрено, что в случае установления Правительством Российской Федерации в соответствии с ч.2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ч.6 ст.31 Закона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Позицией 6 Постановления №2571 регламентировано, что в случае осуществления закупки на выполнение работы по подготовке проектной документации и (или) выполнению инженерных изысканий в соответствии с законодательством о градостроительной деятельности к участникам закупки устанавливается требование о наличии у участника закупки следующего опыта выполнения работ: наличие опыта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 3 Постановления №2571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превышает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10 млн. рублей, для обеспечения нужд субъектов Российской Федерации,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муниципальных нужд - 5 млн. рублей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извещению о проведении закупки Заказчиком установлены дополнительные требования к участникам закупки: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«Требования в соответствии с позицией 6 раздела III приложения к ПП РФ от 29.12.2021 № 2571 — Наличие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 ...»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Предметом рассматриваемой закупки является выполнение работ по разработке проектно-сметной документации, начальная (максимальная) цена контракта составляет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2 113 333,00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руб., то есть НМЦК не превышает 5 млн.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изложенного Комиссия пришла к выводу о том, что Заказчиком неправомерно установлены требования к участникам закупки, чем нарушены положения ч.6 ст.31 Закона. Довод жалобы обоснован.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рамках проведения в соответствии с ч. 15 ст. 99 Закона внеплановой проверки Комиссией Ростовского УФАС России установлено следующее.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п.11 ч.1 ст.42 Закона при осуществлении закупки путем проведения открытых конкурентных способов заказчик формирует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 использованием единой информационной системы,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п.4 ч.2 ст.42 Закона извещение об осуществлении закупки, если иное не предусмотрено настоящим Федеральным законом, должно содержать следующие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электронные документы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 порядок рассмотрения и оценки заявок на участие в конкурсах в соответствии с настоящим Федеральным законом.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РФ от 31.12.2021г. №2604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 Положения "оценка заявок" - действия членов комиссии по осуществлению закупок по присвоению в случаях, предусмотренных Законом, и в соответствии с Положением баллов заявкам (частям заявок) на основании информации и документов участников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пп. в п. 28 Положения в случае применения показателя оценки,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"в" пункта 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Положения, документом, предусмотренным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приложением ^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настоящему Положению: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объектом закупки является выполнение работ по разработке проектно-сметной документации на благоустройство территории.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утвердил порядок рассмотрения и оценки заявок на участие в конкурсе, согласно которому: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 оценке принимается договор (договоры) на выполнение работ по разработке проектной документации и (или) проектной документации и выполнению инженерных изысканий по капитальному ремонту, строительству, реконструкции объектов капитального строительства (за исключением линейных объектов), получивших положительное заключение экспертизы.».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отмечает, что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абз.2 пп."в" п. 28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Положения однозначно определено, что в порядке оценки, в том числе, устанавливается предмет договора (договоров), оцениваемого по каждому детализирующему показателю,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сопоставимый с предметом контракта,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заключаемого по результатам определения поставщика (подрядчика, исполнителя).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под сопоставимым опытом работ, в рамках норм Положения, понимается опыт выполнения работ (оказания услуг), предусмотренных контрактом, заключаемым по результатам конкурентной процедуры, а также опыт выполнения работ (оказания услуг) непосредственно связанный с работами (услугами) выполняемыми в рамках такого контракта (сопоставимый опыт).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объектом закупки является выполнение работ по разработке проектно</w:t>
        <w:softHyphen/>
        <w:t>сметной документации на благоустройство территории, в рамках которых инженерные изыскания по капитальному ремонту, строительству, реконструкции объектов капитального строительства (за исключением линейных объектов) не предусмотрены.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условия сопоставимости принимаемых к оценке контрактов (договоров), определенные Заказчиком в порядке оценки, не соответствуют требованиям Положения и нарушают ч.2 ст.42 Закона.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ч.1 ст.42 Закона при осуществлении закупки путем проведения открытых конкурентных способов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 формирует с использованием единой информационной системы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подписывает усиленной электронной подписью лица, имеющего право действовать от имени заказчика, 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размещает в единой информационной системе извещение об осуществлении закупки, содержащее следующую информацию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размер и порядок внесения денежных средств в качестве обеспечения заявки на участие в закупке, условия независимой гарантии (если требование обеспечения заявки установлено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44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закона),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реквизиты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счета,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 котором в соответствии с законодательством Российской Федерации учитываются операции со средствами, поступающими заказчику, реквизиты счета для перечисления денежных средств в случае, предусмотренном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13 статьи 44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размер обеспечения исполнения контракта, гарантийных обязательств,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порядок предоставления такого обеспечения,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требования к такому обеспечению (если требование обеспечения исполнения контракта, гарантийных обязательств установлено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96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ЕИС размещенное извещение об осуществлении закупки не содержит информацию о реквизитах счета, на котором в соответствии с законодательством Российской Федерации учитываются операции со средствами, поступающими заказчику (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ЕИС — раздел «Платежные реквизиты» - «Номер расчётного счёта» 00000000000000000000 ...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нарушил ч.1 ст.42 Закона.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>В силу п.5 ч.2 ст.42 Закона извещение об осуществлении закупки, если иное не предусмотрено настоящим Федеральным законом, должно содержать электронный документ - проект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ч.16 ст.94 Закона в случае обмена документами при применении мер ответственности и совершении иных действий в связи с нарушением поставщиком (подрядчиком, исполнителем) или заказчиком условий контракта в отношении контракта, заключенного по результатам электронных процедур, закрытых электронных процедур (за исключением закрытых электронных процедур, проводимых федеральными органами исполнительной власти, осуществляющими функции по выработке и реализации государственной политики в области обороны, в области государственной охраны, государственного управления в области обеспечения безопасности Российской Федерации, в сфере деятельности войск национальной гвардии Российской Федерации, подведомственными им государственными учреждениями, государственными унитарными предприятиями, в случае, предусмотренном пунктом 5 части 11 статьи 24 настоящего Федерального закона), </w:t>
      </w:r>
      <w:r>
        <w:rPr>
          <w:color w:val="060606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такой обмен осуществляется с использованием единой информационной системы путем направления электронных уведомлений. Такие уведомления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поставщика (подрядчика, исполнителя), и размещаются в единой информационной системе без размещения на официальном сайте.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проекте контракта установлено: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«14.4.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Уведомления и сообщения по исполнению условий Контракта направляются Сторонами в письменной форме посредством заказных писем с уведомлением о вручении или доставляются нарочным по юридическим и (или) почтовым адресам Сторон с получением под расписку должностными лицами Сторон (с проставлением штампа организации, входящего номера корреспонденции, даты получения корреспонденции), а также с учетом положений Контракта. Стороны признают, что любая без исключения деловая корреспонденция, отправленная с адресов электронной почты, указанных в разделе 15 Контракта, является исходящей от надлежащим образом уполномоченных представителей Сторон и имеет обязательную для обеих Сторон силу. Стороны также признают юридическую силу всех документов уведомлений, претензий, направленных друг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другу в электронном виде во исполнение Контракта по указанным адресам электронной почты.</w:t>
      </w:r>
      <w:r>
        <w:rPr>
          <w:i/>
          <w:iCs/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left"/>
      </w:pPr>
      <w:r>
        <w:rPr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Заказчиком установлен порядок обмена документами между сторонами контракта в нарушение ч.2 ст.42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Постановления Правительства РФ от 26.08.2013 № 728, в соответствии с ч.15 ст.99, ч.8 ст.106 Закона,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«Брокер Групп» 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нарушившим ч.6 ст.31, ч. 1, 2 ст.42 Закона.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 об отмене всех сформированных протоколов, внесении изменений в извещение в соответствии с требованиями Закона и с учетом настоящего решения.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2" w:val="left"/>
        </w:tabs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Рассмотреть вопрос о привлечении к административной ответственности виновного должностного лица Заказчика.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судебном порядке в течение трех месяцев со дня его принятия.</w:t>
      </w:r>
    </w:p>
    <w:tbl>
      <w:tblPr>
        <w:tblOverlap w:val="never"/>
        <w:jc w:val="center"/>
        <w:tblLayout w:type="fixed"/>
      </w:tblPr>
      <w:tblGrid>
        <w:gridCol w:w="2894"/>
        <w:gridCol w:w="4181"/>
        <w:gridCol w:w="3086"/>
      </w:tblGrid>
      <w:tr>
        <w:trPr>
          <w:trHeight w:val="145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6" w:lineRule="auto"/>
              <w:ind w:left="44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A8A8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 для подписи:</w:t>
            </w:r>
            <w:r>
              <w:rPr>
                <w:rFonts w:ascii="Arial" w:eastAsia="Arial" w:hAnsi="Arial" w:cs="Arial"/>
                <w:b/>
                <w:bCs/>
                <w:color w:val="8A8A8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 Батурин С- 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20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С.В. Батурин</w:t>
            </w:r>
          </w:p>
        </w:tc>
      </w:tr>
      <w:tr>
        <w:trPr>
          <w:trHeight w:val="176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24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44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A8A8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Место для подписи;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A8A8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Вертмй А. 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24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А.А. Вертий</w:t>
            </w:r>
          </w:p>
        </w:tc>
      </w:tr>
      <w:tr>
        <w:trPr>
          <w:trHeight w:val="1459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44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A8A8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 для подписи: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Fonts w:ascii="Arial" w:eastAsia="Arial" w:hAnsi="Arial" w:cs="Arial"/>
                <w:b/>
                <w:bCs/>
                <w:color w:val="8A8A8A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Кириленко В. Д.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24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В.Д. Кириленко</w:t>
            </w:r>
          </w:p>
        </w:tc>
      </w:tr>
    </w:tbl>
    <w:p>
      <w:pPr>
        <w:widowControl w:val="0"/>
        <w:spacing w:after="2719" w:line="1" w:lineRule="exact"/>
      </w:pP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Исп.Кириленко В.Д.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тел.(863) 240-86-88, вн.061-131</w:t>
      </w:r>
    </w:p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1030" w:right="466" w:bottom="1192" w:left="1047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10003790</wp:posOffset>
              </wp:positionV>
              <wp:extent cx="647065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2024-19669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99999999999999pt;margin-top:787.7000000000000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2024-19669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730250</wp:posOffset>
              </wp:positionH>
              <wp:positionV relativeFrom="page">
                <wp:posOffset>10000615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2024-19669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5pt;margin-top:787.45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2024-19669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60606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6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3"/>
      <w:sz w:val="19"/>
      <w:szCs w:val="19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6">
    <w:name w:val="Подпись к таблиц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Другое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3"/>
      <w:sz w:val="19"/>
      <w:szCs w:val="19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120" w:line="252" w:lineRule="auto"/>
      <w:ind w:firstLine="320"/>
    </w:pPr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5">
    <w:name w:val="Подпись к таблице"/>
    <w:basedOn w:val="Normal"/>
    <w:link w:val="CharStyle26"/>
    <w:pPr>
      <w:widowControl w:val="0"/>
      <w:shd w:val="clear" w:color="auto" w:fill="auto"/>
      <w:ind w:firstLine="7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Другое"/>
    <w:basedOn w:val="Normal"/>
    <w:link w:val="CharStyle2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