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60705" cy="65849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60705" cy="658495"/>
                    </a:xfrm>
                    <a:prstGeom prst="rect"/>
                  </pic:spPr>
                </pic:pic>
              </a:graphicData>
            </a:graphic>
          </wp:inline>
        </w:drawing>
      </w:r>
    </w:p>
    <w:p>
      <w:pPr>
        <w:widowControl w:val="0"/>
        <w:spacing w:after="199" w:line="1" w:lineRule="exact"/>
      </w:pPr>
    </w:p>
    <w:p>
      <w:pPr>
        <w:pStyle w:val="Style2"/>
        <w:keepNext w:val="0"/>
        <w:keepLines w:val="0"/>
        <w:widowControl w:val="0"/>
        <w:shd w:val="clear" w:color="auto" w:fill="auto"/>
        <w:bidi w:val="0"/>
        <w:spacing w:before="0" w:after="80" w:line="300" w:lineRule="auto"/>
        <w:ind w:left="0" w:right="0" w:firstLine="0"/>
        <w:jc w:val="center"/>
      </w:pPr>
      <w:r>
        <w:rPr>
          <w:b/>
          <w:bCs/>
          <w:color w:val="1F1B72"/>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80" w:line="257" w:lineRule="auto"/>
        <w:ind w:left="0" w:right="0" w:firstLine="0"/>
        <w:jc w:val="center"/>
        <w:rPr>
          <w:sz w:val="26"/>
          <w:szCs w:val="26"/>
        </w:rPr>
      </w:pPr>
      <w:r>
        <w:rPr>
          <w:b/>
          <w:bCs/>
          <w:color w:val="1F1B72"/>
          <w:spacing w:val="0"/>
          <w:w w:val="100"/>
          <w:position w:val="0"/>
          <w:sz w:val="26"/>
          <w:szCs w:val="26"/>
          <w:shd w:val="clear" w:color="auto" w:fill="auto"/>
          <w:lang w:val="ru-RU" w:eastAsia="ru-RU" w:bidi="ru-RU"/>
        </w:rPr>
        <w:t>УПРАВЛЕНИЕ</w:t>
        <w:br/>
        <w:t>Федеральной антимонопольной службы</w:t>
        <w:br/>
        <w:t>по Архангельской области</w:t>
      </w:r>
    </w:p>
    <w:p>
      <w:pPr>
        <w:pStyle w:val="Style8"/>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ул. К. Либкнехта, 2, г. Архангельск, 163000</w:t>
        <w:br/>
        <w:t xml:space="preserve">Тел.: (8182) 20-73-21, </w:t>
      </w:r>
      <w:r>
        <w:rPr>
          <w:color w:val="1F1B72"/>
          <w:spacing w:val="0"/>
          <w:w w:val="100"/>
          <w:position w:val="0"/>
          <w:shd w:val="clear" w:color="auto" w:fill="auto"/>
          <w:lang w:val="ru-RU" w:eastAsia="ru-RU" w:bidi="ru-RU"/>
        </w:rPr>
        <w:t xml:space="preserve">факс: </w:t>
      </w:r>
      <w:r>
        <w:rPr>
          <w:spacing w:val="0"/>
          <w:w w:val="100"/>
          <w:position w:val="0"/>
          <w:shd w:val="clear" w:color="auto" w:fill="auto"/>
          <w:lang w:val="ru-RU" w:eastAsia="ru-RU" w:bidi="ru-RU"/>
        </w:rPr>
        <w:t>(8182) 21-54-45</w:t>
        <w:br/>
        <w:t>е-шаП: 1о29'ЛТа.ч.§оу.ги</w:t>
      </w:r>
    </w:p>
    <w:p>
      <w:pPr>
        <w:pStyle w:val="Style2"/>
        <w:keepNext w:val="0"/>
        <w:keepLines w:val="0"/>
        <w:widowControl w:val="0"/>
        <w:shd w:val="clear" w:color="auto" w:fill="auto"/>
        <w:tabs>
          <w:tab w:leader="underscore" w:pos="2146" w:val="left"/>
        </w:tabs>
        <w:bidi w:val="0"/>
        <w:spacing w:before="0" w:after="200" w:line="240" w:lineRule="auto"/>
        <w:ind w:left="0" w:right="0" w:firstLine="0"/>
        <w:jc w:val="left"/>
      </w:pPr>
      <w:r>
        <w:rPr>
          <w:color w:val="1F1C3F"/>
          <w:spacing w:val="0"/>
          <w:w w:val="100"/>
          <w:position w:val="0"/>
          <w:shd w:val="clear" w:color="auto" w:fill="auto"/>
          <w:lang w:val="ru-RU" w:eastAsia="ru-RU" w:bidi="ru-RU"/>
        </w:rPr>
        <w:tab/>
        <w:t xml:space="preserve">№ </w:t>
      </w:r>
      <w:r>
        <w:rPr>
          <w:color w:val="1F1C3F"/>
          <w:spacing w:val="0"/>
          <w:w w:val="100"/>
          <w:position w:val="0"/>
          <w:u w:val="single"/>
          <w:shd w:val="clear" w:color="auto" w:fill="auto"/>
          <w:lang w:val="ru-RU" w:eastAsia="ru-RU" w:bidi="ru-RU"/>
        </w:rPr>
        <w:t>оу-</w:t>
      </w:r>
    </w:p>
    <w:p>
      <w:pPr>
        <w:pStyle w:val="Style2"/>
        <w:keepNext w:val="0"/>
        <w:keepLines w:val="0"/>
        <w:widowControl w:val="0"/>
        <w:shd w:val="clear" w:color="auto" w:fill="auto"/>
        <w:bidi w:val="0"/>
        <w:spacing w:before="0" w:after="0" w:line="240" w:lineRule="auto"/>
        <w:ind w:left="0" w:right="0" w:firstLine="0"/>
        <w:jc w:val="left"/>
      </w:pPr>
      <w:r>
        <w:rPr>
          <w:color w:val="1F1C3F"/>
          <w:spacing w:val="0"/>
          <w:w w:val="100"/>
          <w:position w:val="0"/>
          <w:shd w:val="clear" w:color="auto" w:fill="auto"/>
          <w:lang w:val="ru-RU" w:eastAsia="ru-RU" w:bidi="ru-RU"/>
        </w:rPr>
        <w:t>На №01'</w:t>
      </w:r>
    </w:p>
    <w:p>
      <w:pPr>
        <w:pStyle w:val="Style2"/>
        <w:keepNext w:val="0"/>
        <w:keepLines w:val="0"/>
        <w:widowControl w:val="0"/>
        <w:shd w:val="clear" w:color="auto" w:fill="auto"/>
        <w:bidi w:val="0"/>
        <w:spacing w:before="0" w:after="0" w:line="266" w:lineRule="auto"/>
        <w:ind w:left="0" w:right="0" w:firstLine="0"/>
        <w:jc w:val="left"/>
      </w:pPr>
      <w:r>
        <w:rPr>
          <w:b/>
          <w:bCs/>
          <w:color w:val="000000"/>
          <w:spacing w:val="0"/>
          <w:w w:val="100"/>
          <w:position w:val="0"/>
          <w:shd w:val="clear" w:color="auto" w:fill="auto"/>
          <w:lang w:val="ru-RU" w:eastAsia="ru-RU" w:bidi="ru-RU"/>
        </w:rPr>
        <w:t>Дело № 176мз-24</w:t>
      </w:r>
    </w:p>
    <w:p>
      <w:pPr>
        <w:pStyle w:val="Style2"/>
        <w:keepNext w:val="0"/>
        <w:keepLines w:val="0"/>
        <w:widowControl w:val="0"/>
        <w:shd w:val="clear" w:color="auto" w:fill="auto"/>
        <w:bidi w:val="0"/>
        <w:spacing w:before="0" w:after="200" w:line="266" w:lineRule="auto"/>
        <w:ind w:left="0" w:right="0" w:firstLine="0"/>
        <w:jc w:val="left"/>
      </w:pPr>
      <w:r>
        <w:rPr>
          <w:b/>
          <w:bCs/>
          <w:color w:val="000000"/>
          <w:spacing w:val="0"/>
          <w:w w:val="100"/>
          <w:position w:val="0"/>
          <w:shd w:val="clear" w:color="auto" w:fill="auto"/>
          <w:lang w:val="ru-RU" w:eastAsia="ru-RU" w:bidi="ru-RU"/>
        </w:rPr>
        <w:t>029/06/48-854/2024</w:t>
      </w:r>
    </w:p>
    <w:p>
      <w:pPr>
        <w:pStyle w:val="Style2"/>
        <w:keepNext w:val="0"/>
        <w:keepLines w:val="0"/>
        <w:widowControl w:val="0"/>
        <w:shd w:val="clear" w:color="auto" w:fill="auto"/>
        <w:bidi w:val="0"/>
        <w:spacing w:before="0" w:after="0" w:line="266" w:lineRule="auto"/>
        <w:ind w:left="0" w:right="0" w:firstLine="0"/>
        <w:jc w:val="left"/>
      </w:pPr>
      <w:r>
        <w:rPr>
          <w:b/>
          <w:bCs/>
          <w:color w:val="000000"/>
          <w:spacing w:val="0"/>
          <w:w w:val="100"/>
          <w:position w:val="0"/>
          <w:u w:val="single"/>
          <w:shd w:val="clear" w:color="auto" w:fill="auto"/>
          <w:lang w:val="ru-RU" w:eastAsia="ru-RU" w:bidi="ru-RU"/>
        </w:rPr>
        <w:t>Заказчик :</w:t>
      </w:r>
    </w:p>
    <w:p>
      <w:pPr>
        <w:pStyle w:val="Style2"/>
        <w:keepNext w:val="0"/>
        <w:keepLines w:val="0"/>
        <w:widowControl w:val="0"/>
        <w:shd w:val="clear" w:color="auto" w:fill="auto"/>
        <w:bidi w:val="0"/>
        <w:spacing w:before="0" w:after="0" w:line="266" w:lineRule="auto"/>
        <w:ind w:left="0" w:right="0" w:firstLine="0"/>
        <w:jc w:val="left"/>
      </w:pPr>
      <w:r>
        <w:rPr>
          <w:b/>
          <w:bCs/>
          <w:color w:val="000000"/>
          <w:spacing w:val="0"/>
          <w:w w:val="100"/>
          <w:position w:val="0"/>
          <w:shd w:val="clear" w:color="auto" w:fill="auto"/>
          <w:lang w:val="ru-RU" w:eastAsia="ru-RU" w:bidi="ru-RU"/>
        </w:rPr>
        <w:t>МУК городского округа «Город Архангельск» «Ломоносовский Дворец культуры»</w:t>
      </w:r>
    </w:p>
    <w:p>
      <w:pPr>
        <w:pStyle w:val="Style2"/>
        <w:keepNext w:val="0"/>
        <w:keepLines w:val="0"/>
        <w:widowControl w:val="0"/>
        <w:shd w:val="clear" w:color="auto" w:fill="auto"/>
        <w:bidi w:val="0"/>
        <w:spacing w:before="0" w:after="240" w:line="266" w:lineRule="auto"/>
        <w:ind w:left="0" w:right="0" w:firstLine="0"/>
        <w:jc w:val="left"/>
      </w:pPr>
      <w:r>
        <w:rPr>
          <w:color w:val="000000"/>
          <w:spacing w:val="0"/>
          <w:w w:val="100"/>
          <w:position w:val="0"/>
          <w:shd w:val="clear" w:color="auto" w:fill="auto"/>
          <w:lang w:val="ru-RU" w:eastAsia="ru-RU" w:bidi="ru-RU"/>
        </w:rPr>
        <w:t>163062 г. Архангельск, ул.Никитова, д.1 Е-таП: 1отопосоубк@уапс1ех.ги, 1отопо8оус1к2ак@та11.ги</w:t>
      </w:r>
    </w:p>
    <w:p>
      <w:pPr>
        <w:pStyle w:val="Style2"/>
        <w:keepNext w:val="0"/>
        <w:keepLines w:val="0"/>
        <w:widowControl w:val="0"/>
        <w:shd w:val="clear" w:color="auto" w:fill="auto"/>
        <w:bidi w:val="0"/>
        <w:spacing w:before="0" w:after="0" w:line="262" w:lineRule="auto"/>
        <w:ind w:left="0" w:right="0" w:firstLine="0"/>
        <w:jc w:val="left"/>
      </w:pPr>
      <w:r>
        <w:rPr>
          <w:b/>
          <w:bCs/>
          <w:color w:val="000000"/>
          <w:spacing w:val="0"/>
          <w:w w:val="100"/>
          <w:position w:val="0"/>
          <w:u w:val="single"/>
          <w:shd w:val="clear" w:color="auto" w:fill="auto"/>
          <w:lang w:val="ru-RU" w:eastAsia="ru-RU" w:bidi="ru-RU"/>
        </w:rPr>
        <w:t>Уполномоченный орган (конкурсная комиссия);</w:t>
      </w:r>
    </w:p>
    <w:p>
      <w:pPr>
        <w:pStyle w:val="Style2"/>
        <w:keepNext w:val="0"/>
        <w:keepLines w:val="0"/>
        <w:widowControl w:val="0"/>
        <w:shd w:val="clear" w:color="auto" w:fill="auto"/>
        <w:bidi w:val="0"/>
        <w:spacing w:before="0" w:after="0" w:line="262" w:lineRule="auto"/>
        <w:ind w:left="0" w:right="0" w:firstLine="0"/>
        <w:jc w:val="left"/>
      </w:pPr>
      <w:r>
        <w:rPr>
          <w:b/>
          <w:bCs/>
          <w:color w:val="000000"/>
          <w:spacing w:val="0"/>
          <w:w w:val="100"/>
          <w:position w:val="0"/>
          <w:shd w:val="clear" w:color="auto" w:fill="auto"/>
          <w:lang w:val="ru-RU" w:eastAsia="ru-RU" w:bidi="ru-RU"/>
        </w:rPr>
        <w:t>Контрактное агентство Архангельской области</w:t>
      </w:r>
    </w:p>
    <w:p>
      <w:pPr>
        <w:pStyle w:val="Style2"/>
        <w:keepNext w:val="0"/>
        <w:keepLines w:val="0"/>
        <w:widowControl w:val="0"/>
        <w:shd w:val="clear" w:color="auto" w:fill="auto"/>
        <w:bidi w:val="0"/>
        <w:spacing w:before="0" w:after="0" w:line="262" w:lineRule="auto"/>
        <w:ind w:left="0" w:right="0" w:firstLine="0"/>
        <w:jc w:val="left"/>
      </w:pPr>
      <w:r>
        <w:rPr>
          <w:color w:val="000000"/>
          <w:spacing w:val="0"/>
          <w:w w:val="100"/>
          <w:position w:val="0"/>
          <w:shd w:val="clear" w:color="auto" w:fill="auto"/>
          <w:lang w:val="ru-RU" w:eastAsia="ru-RU" w:bidi="ru-RU"/>
        </w:rPr>
        <w:t>163069, г. Архангельск, ул.Выучейского, д.18</w:t>
      </w:r>
    </w:p>
    <w:p>
      <w:pPr>
        <w:pStyle w:val="Style2"/>
        <w:keepNext w:val="0"/>
        <w:keepLines w:val="0"/>
        <w:widowControl w:val="0"/>
        <w:shd w:val="clear" w:color="auto" w:fill="auto"/>
        <w:bidi w:val="0"/>
        <w:spacing w:before="0" w:after="240" w:line="262" w:lineRule="auto"/>
        <w:ind w:left="0" w:right="0" w:firstLine="0"/>
        <w:jc w:val="left"/>
      </w:pPr>
      <w:r>
        <w:rPr>
          <w:color w:val="000000"/>
          <w:spacing w:val="0"/>
          <w:w w:val="100"/>
          <w:position w:val="0"/>
          <w:shd w:val="clear" w:color="auto" w:fill="auto"/>
          <w:lang w:val="ru-RU" w:eastAsia="ru-RU" w:bidi="ru-RU"/>
        </w:rPr>
        <w:t>Е-таП: с!кр@с1ута1апс1.ги</w:t>
      </w:r>
    </w:p>
    <w:p>
      <w:pPr>
        <w:pStyle w:val="Style2"/>
        <w:keepNext w:val="0"/>
        <w:keepLines w:val="0"/>
        <w:widowControl w:val="0"/>
        <w:shd w:val="clear" w:color="auto" w:fill="auto"/>
        <w:bidi w:val="0"/>
        <w:spacing w:before="0" w:after="0" w:line="266" w:lineRule="auto"/>
        <w:ind w:left="0" w:right="0" w:firstLine="0"/>
        <w:jc w:val="left"/>
      </w:pPr>
      <w:r>
        <w:rPr>
          <w:b/>
          <w:bCs/>
          <w:color w:val="000000"/>
          <w:spacing w:val="0"/>
          <w:w w:val="100"/>
          <w:position w:val="0"/>
          <w:u w:val="single"/>
          <w:shd w:val="clear" w:color="auto" w:fill="auto"/>
          <w:lang w:val="ru-RU" w:eastAsia="ru-RU" w:bidi="ru-RU"/>
        </w:rPr>
        <w:t>Оператор электронной площадки:</w:t>
      </w:r>
    </w:p>
    <w:p>
      <w:pPr>
        <w:pStyle w:val="Style2"/>
        <w:keepNext w:val="0"/>
        <w:keepLines w:val="0"/>
        <w:widowControl w:val="0"/>
        <w:shd w:val="clear" w:color="auto" w:fill="auto"/>
        <w:bidi w:val="0"/>
        <w:spacing w:before="0" w:after="0" w:line="266" w:lineRule="auto"/>
        <w:ind w:left="0" w:right="0" w:firstLine="0"/>
        <w:jc w:val="left"/>
      </w:pPr>
      <w:r>
        <w:rPr>
          <w:b/>
          <w:bCs/>
          <w:color w:val="000000"/>
          <w:spacing w:val="0"/>
          <w:w w:val="100"/>
          <w:position w:val="0"/>
          <w:shd w:val="clear" w:color="auto" w:fill="auto"/>
          <w:lang w:val="ru-RU" w:eastAsia="ru-RU" w:bidi="ru-RU"/>
        </w:rPr>
        <w:t>ООО «РТС-тендер»</w:t>
      </w:r>
    </w:p>
    <w:p>
      <w:pPr>
        <w:pStyle w:val="Style2"/>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ru-RU" w:eastAsia="ru-RU" w:bidi="ru-RU"/>
        </w:rPr>
        <w:t>121151, г. Москва, набережная Тараса Шевченко, д. 23 А</w:t>
      </w:r>
    </w:p>
    <w:p>
      <w:pPr>
        <w:pStyle w:val="Style2"/>
        <w:keepNext w:val="0"/>
        <w:keepLines w:val="0"/>
        <w:widowControl w:val="0"/>
        <w:shd w:val="clear" w:color="auto" w:fill="auto"/>
        <w:bidi w:val="0"/>
        <w:spacing w:before="0" w:after="0" w:line="271" w:lineRule="auto"/>
        <w:ind w:left="0" w:right="0" w:firstLine="0"/>
        <w:jc w:val="left"/>
        <w:sectPr>
          <w:footnotePr>
            <w:pos w:val="pageBottom"/>
            <w:numFmt w:val="decimal"/>
            <w:numRestart w:val="continuous"/>
          </w:footnotePr>
          <w:pgSz w:w="11900" w:h="16840"/>
          <w:pgMar w:top="818" w:right="853" w:bottom="577" w:left="1283" w:header="390" w:footer="149" w:gutter="0"/>
          <w:pgNumType w:start="1"/>
          <w:cols w:num="2" w:space="720" w:equalWidth="0">
            <w:col w:w="4824" w:space="680"/>
            <w:col w:w="4259"/>
          </w:cols>
          <w:noEndnote/>
          <w:rtlGutter w:val="0"/>
          <w:docGrid w:linePitch="360"/>
        </w:sectPr>
      </w:pPr>
      <w:r>
        <w:rPr>
          <w:color w:val="000000"/>
          <w:spacing w:val="0"/>
          <w:w w:val="100"/>
          <w:position w:val="0"/>
          <w:shd w:val="clear" w:color="auto" w:fill="auto"/>
          <w:lang w:val="ru-RU" w:eastAsia="ru-RU" w:bidi="ru-RU"/>
        </w:rPr>
        <w:t>Е-таП: ко@118-1епс1ег.ги</w:t>
      </w:r>
    </w:p>
    <w:p>
      <w:pPr>
        <w:widowControl w:val="0"/>
        <w:spacing w:line="126" w:lineRule="exact"/>
        <w:rPr>
          <w:sz w:val="10"/>
          <w:szCs w:val="10"/>
        </w:rPr>
      </w:pPr>
    </w:p>
    <w:p>
      <w:pPr>
        <w:widowControl w:val="0"/>
        <w:spacing w:line="1" w:lineRule="exact"/>
        <w:sectPr>
          <w:footnotePr>
            <w:pos w:val="pageBottom"/>
            <w:numFmt w:val="decimal"/>
            <w:numRestart w:val="continuous"/>
          </w:footnotePr>
          <w:type w:val="continuous"/>
          <w:pgSz w:w="11900" w:h="16840"/>
          <w:pgMar w:top="716" w:right="0" w:bottom="508" w:left="0" w:header="0" w:footer="3" w:gutter="0"/>
          <w:cols w:space="720"/>
          <w:noEndnote/>
          <w:rtlGutter w:val="0"/>
          <w:docGrid w:linePitch="360"/>
        </w:sectPr>
      </w:pPr>
    </w:p>
    <w:p>
      <w:pPr>
        <w:pStyle w:val="Style2"/>
        <w:keepNext w:val="0"/>
        <w:keepLines w:val="0"/>
        <w:widowControl w:val="0"/>
        <w:shd w:val="clear" w:color="auto" w:fill="auto"/>
        <w:bidi w:val="0"/>
        <w:spacing w:before="0" w:after="0"/>
        <w:ind w:left="5500" w:right="0" w:firstLine="0"/>
        <w:jc w:val="left"/>
      </w:pPr>
      <w:r>
        <w:rPr>
          <w:b/>
          <w:bCs/>
          <w:color w:val="000000"/>
          <w:spacing w:val="0"/>
          <w:w w:val="100"/>
          <w:position w:val="0"/>
          <w:u w:val="single"/>
          <w:shd w:val="clear" w:color="auto" w:fill="auto"/>
          <w:lang w:val="ru-RU" w:eastAsia="ru-RU" w:bidi="ru-RU"/>
        </w:rPr>
        <w:t>Заявитель;</w:t>
      </w:r>
    </w:p>
    <w:p>
      <w:pPr>
        <w:pStyle w:val="Style2"/>
        <w:keepNext w:val="0"/>
        <w:keepLines w:val="0"/>
        <w:widowControl w:val="0"/>
        <w:shd w:val="clear" w:color="auto" w:fill="auto"/>
        <w:bidi w:val="0"/>
        <w:spacing w:before="0" w:after="0"/>
        <w:ind w:left="5500" w:right="0" w:firstLine="0"/>
        <w:jc w:val="left"/>
      </w:pPr>
      <w:r>
        <w:rPr>
          <w:b/>
          <w:bCs/>
          <w:color w:val="000000"/>
          <w:spacing w:val="0"/>
          <w:w w:val="100"/>
          <w:position w:val="0"/>
          <w:shd w:val="clear" w:color="auto" w:fill="auto"/>
          <w:lang w:val="ru-RU" w:eastAsia="ru-RU" w:bidi="ru-RU"/>
        </w:rPr>
        <w:t>Общество с ограниченной ответственностью «ГАРАНТ»</w:t>
      </w:r>
    </w:p>
    <w:p>
      <w:pPr>
        <w:pStyle w:val="Style2"/>
        <w:keepNext w:val="0"/>
        <w:keepLines w:val="0"/>
        <w:widowControl w:val="0"/>
        <w:shd w:val="clear" w:color="auto" w:fill="auto"/>
        <w:bidi w:val="0"/>
        <w:spacing w:before="0" w:after="260"/>
        <w:ind w:left="5500" w:right="0" w:firstLine="0"/>
        <w:jc w:val="left"/>
      </w:pPr>
      <w:r>
        <w:rPr>
          <w:color w:val="000000"/>
          <w:spacing w:val="0"/>
          <w:w w:val="100"/>
          <w:position w:val="0"/>
          <w:shd w:val="clear" w:color="auto" w:fill="auto"/>
          <w:lang w:val="ru-RU" w:eastAsia="ru-RU" w:bidi="ru-RU"/>
        </w:rPr>
        <w:t>195277, город Санкт-Петербург, Выборгская наб, д. 35/1 литера А, помещ. 4-н Е-таП: кЬаЬагойГ@Н8(.ги, 9320895@1181.ги</w:t>
      </w:r>
    </w:p>
    <w:p>
      <w:pPr>
        <w:pStyle w:val="Style2"/>
        <w:keepNext w:val="0"/>
        <w:keepLines w:val="0"/>
        <w:widowControl w:val="0"/>
        <w:shd w:val="clear" w:color="auto" w:fill="auto"/>
        <w:bidi w:val="0"/>
        <w:spacing w:before="0" w:after="0"/>
        <w:ind w:left="5500" w:right="0" w:firstLine="0"/>
        <w:jc w:val="left"/>
      </w:pPr>
      <w:r>
        <w:rPr>
          <w:b/>
          <w:bCs/>
          <w:color w:val="000000"/>
          <w:spacing w:val="0"/>
          <w:w w:val="100"/>
          <w:position w:val="0"/>
          <w:u w:val="single"/>
          <w:shd w:val="clear" w:color="auto" w:fill="auto"/>
          <w:lang w:val="ru-RU" w:eastAsia="ru-RU" w:bidi="ru-RU"/>
        </w:rPr>
        <w:t>Победитель конкурса:</w:t>
      </w:r>
    </w:p>
    <w:p>
      <w:pPr>
        <w:pStyle w:val="Style2"/>
        <w:keepNext w:val="0"/>
        <w:keepLines w:val="0"/>
        <w:widowControl w:val="0"/>
        <w:shd w:val="clear" w:color="auto" w:fill="auto"/>
        <w:bidi w:val="0"/>
        <w:spacing w:before="0" w:after="0"/>
        <w:ind w:left="5500" w:right="0" w:firstLine="0"/>
        <w:jc w:val="left"/>
      </w:pPr>
      <w:r>
        <w:rPr>
          <w:b/>
          <w:bCs/>
          <w:color w:val="000000"/>
          <w:spacing w:val="0"/>
          <w:w w:val="100"/>
          <w:position w:val="0"/>
          <w:shd w:val="clear" w:color="auto" w:fill="auto"/>
          <w:lang w:val="ru-RU" w:eastAsia="ru-RU" w:bidi="ru-RU"/>
        </w:rPr>
        <w:t>ООО «ВОРОНЕЖСКОЕ</w:t>
      </w:r>
    </w:p>
    <w:p>
      <w:pPr>
        <w:pStyle w:val="Style2"/>
        <w:keepNext w:val="0"/>
        <w:keepLines w:val="0"/>
        <w:widowControl w:val="0"/>
        <w:shd w:val="clear" w:color="auto" w:fill="auto"/>
        <w:bidi w:val="0"/>
        <w:spacing w:before="0" w:after="0"/>
        <w:ind w:left="5500" w:right="0" w:firstLine="0"/>
        <w:jc w:val="left"/>
      </w:pPr>
      <w:r>
        <w:rPr>
          <w:b/>
          <w:bCs/>
          <w:color w:val="000000"/>
          <w:spacing w:val="0"/>
          <w:w w:val="100"/>
          <w:position w:val="0"/>
          <w:shd w:val="clear" w:color="auto" w:fill="auto"/>
          <w:lang w:val="ru-RU" w:eastAsia="ru-RU" w:bidi="ru-RU"/>
        </w:rPr>
        <w:t>АРХИТЕКТУРНОЕ БЮРО» (ООО «ВАБ»)</w:t>
      </w:r>
    </w:p>
    <w:p>
      <w:pPr>
        <w:pStyle w:val="Style2"/>
        <w:keepNext w:val="0"/>
        <w:keepLines w:val="0"/>
        <w:widowControl w:val="0"/>
        <w:shd w:val="clear" w:color="auto" w:fill="auto"/>
        <w:bidi w:val="0"/>
        <w:spacing w:before="0" w:after="0"/>
        <w:ind w:left="5500" w:right="0" w:firstLine="0"/>
        <w:jc w:val="left"/>
      </w:pPr>
      <w:r>
        <w:rPr>
          <w:color w:val="000000"/>
          <w:spacing w:val="0"/>
          <w:w w:val="100"/>
          <w:position w:val="0"/>
          <w:shd w:val="clear" w:color="auto" w:fill="auto"/>
          <w:lang w:val="ru-RU" w:eastAsia="ru-RU" w:bidi="ru-RU"/>
        </w:rPr>
        <w:t>394071, Воронежская область, г. Воронеж, ул. Клубная, д. 45</w:t>
      </w:r>
    </w:p>
    <w:p>
      <w:pPr>
        <w:pStyle w:val="Style2"/>
        <w:keepNext w:val="0"/>
        <w:keepLines w:val="0"/>
        <w:widowControl w:val="0"/>
        <w:shd w:val="clear" w:color="auto" w:fill="auto"/>
        <w:bidi w:val="0"/>
        <w:spacing w:before="0" w:after="260"/>
        <w:ind w:left="5500" w:right="0" w:firstLine="0"/>
        <w:jc w:val="left"/>
      </w:pPr>
      <w:r>
        <w:rPr>
          <w:color w:val="000000"/>
          <w:spacing w:val="0"/>
          <w:w w:val="100"/>
          <w:position w:val="0"/>
          <w:shd w:val="clear" w:color="auto" w:fill="auto"/>
          <w:lang w:val="ru-RU" w:eastAsia="ru-RU" w:bidi="ru-RU"/>
        </w:rPr>
        <w:t>Е-таП: УаЬ36ги@уапдех.ги</w:t>
      </w:r>
    </w:p>
    <w:p>
      <w:pPr>
        <w:pStyle w:val="Style15"/>
        <w:keepNext/>
        <w:keepLines/>
        <w:widowControl w:val="0"/>
        <w:shd w:val="clear" w:color="auto" w:fill="auto"/>
        <w:bidi w:val="0"/>
        <w:spacing w:before="0" w:after="120" w:line="233" w:lineRule="auto"/>
        <w:ind w:left="0" w:right="0" w:firstLine="0"/>
        <w:jc w:val="center"/>
        <w:rPr>
          <w:sz w:val="26"/>
          <w:szCs w:val="26"/>
        </w:rPr>
      </w:pPr>
      <w:bookmarkStart w:id="0" w:name="bookmark0"/>
      <w:r>
        <w:rPr>
          <w:color w:val="000000"/>
          <w:spacing w:val="0"/>
          <w:w w:val="100"/>
          <w:position w:val="0"/>
          <w:sz w:val="26"/>
          <w:szCs w:val="26"/>
          <w:shd w:val="clear" w:color="auto" w:fill="auto"/>
          <w:lang w:val="ru-RU" w:eastAsia="ru-RU" w:bidi="ru-RU"/>
        </w:rPr>
        <w:t>РЕШЕНИЕ</w:t>
      </w:r>
      <w:bookmarkEnd w:id="0"/>
    </w:p>
    <w:p>
      <w:pPr>
        <w:pStyle w:val="Style2"/>
        <w:keepNext w:val="0"/>
        <w:keepLines w:val="0"/>
        <w:widowControl w:val="0"/>
        <w:shd w:val="clear" w:color="auto" w:fill="auto"/>
        <w:tabs>
          <w:tab w:pos="7909" w:val="left"/>
        </w:tabs>
        <w:bidi w:val="0"/>
        <w:spacing w:before="0" w:after="160" w:line="276" w:lineRule="auto"/>
        <w:ind w:left="0" w:right="0" w:firstLine="0"/>
        <w:jc w:val="both"/>
        <w:rPr>
          <w:sz w:val="22"/>
          <w:szCs w:val="22"/>
        </w:rPr>
      </w:pPr>
      <w:r>
        <w:rPr>
          <w:b/>
          <w:bCs/>
          <w:color w:val="000000"/>
          <w:spacing w:val="0"/>
          <w:w w:val="100"/>
          <w:position w:val="0"/>
          <w:sz w:val="22"/>
          <w:szCs w:val="22"/>
          <w:shd w:val="clear" w:color="auto" w:fill="auto"/>
          <w:lang w:val="ru-RU" w:eastAsia="ru-RU" w:bidi="ru-RU"/>
        </w:rPr>
        <w:t>27 сентября 2024 года</w:t>
        <w:tab/>
        <w:t>г. Архангельск</w:t>
      </w:r>
    </w:p>
    <w:p>
      <w:pPr>
        <w:pStyle w:val="Style5"/>
        <w:keepNext w:val="0"/>
        <w:keepLines w:val="0"/>
        <w:widowControl w:val="0"/>
        <w:shd w:val="clear" w:color="auto" w:fill="auto"/>
        <w:bidi w:val="0"/>
        <w:spacing w:before="0" w:after="60" w:line="252" w:lineRule="auto"/>
        <w:ind w:left="0" w:right="0" w:firstLine="840"/>
        <w:jc w:val="both"/>
      </w:pPr>
      <w:r>
        <w:rPr>
          <w:color w:val="000000"/>
          <w:spacing w:val="0"/>
          <w:w w:val="100"/>
          <w:position w:val="0"/>
          <w:sz w:val="24"/>
          <w:szCs w:val="24"/>
          <w:shd w:val="clear" w:color="auto" w:fill="auto"/>
          <w:lang w:val="ru-RU" w:eastAsia="ru-RU" w:bidi="ru-RU"/>
        </w:rPr>
        <w:t>Руководствуясь Письмом ФАС России от 03.04.2020 № 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5"/>
        <w:keepNext w:val="0"/>
        <w:keepLines w:val="0"/>
        <w:widowControl w:val="0"/>
        <w:shd w:val="clear" w:color="auto" w:fill="auto"/>
        <w:bidi w:val="0"/>
        <w:spacing w:before="0" w:after="60" w:line="276" w:lineRule="auto"/>
        <w:ind w:left="0" w:right="0" w:firstLine="840"/>
        <w:jc w:val="both"/>
        <w:rPr>
          <w:sz w:val="22"/>
          <w:szCs w:val="22"/>
        </w:rPr>
      </w:pPr>
      <w:r>
        <w:rPr>
          <w:b/>
          <w:bCs/>
          <w:color w:val="000000"/>
          <w:spacing w:val="0"/>
          <w:w w:val="100"/>
          <w:position w:val="0"/>
          <w:sz w:val="22"/>
          <w:szCs w:val="22"/>
          <w:u w:val="single"/>
          <w:shd w:val="clear" w:color="auto" w:fill="auto"/>
          <w:lang w:val="ru-RU" w:eastAsia="ru-RU" w:bidi="ru-RU"/>
        </w:rPr>
        <w:t>Председатель комиссии:</w:t>
      </w:r>
    </w:p>
    <w:p>
      <w:pPr>
        <w:pStyle w:val="Style5"/>
        <w:keepNext w:val="0"/>
        <w:keepLines w:val="0"/>
        <w:widowControl w:val="0"/>
        <w:shd w:val="clear" w:color="auto" w:fill="auto"/>
        <w:bidi w:val="0"/>
        <w:spacing w:before="0" w:after="60" w:line="257" w:lineRule="auto"/>
        <w:ind w:left="2360" w:right="0" w:hanging="2220"/>
        <w:jc w:val="both"/>
      </w:pPr>
      <w:r>
        <w:rPr>
          <w:color w:val="000000"/>
          <w:spacing w:val="0"/>
          <w:w w:val="100"/>
          <w:position w:val="0"/>
          <w:sz w:val="24"/>
          <w:szCs w:val="24"/>
          <w:shd w:val="clear" w:color="auto" w:fill="auto"/>
          <w:lang w:val="ru-RU" w:eastAsia="ru-RU" w:bidi="ru-RU"/>
        </w:rPr>
        <w:t>Малышева О.С. Заместитель руководителя Управления - начальник отдела контроля закупок;</w:t>
      </w:r>
    </w:p>
    <w:p>
      <w:pPr>
        <w:pStyle w:val="Style5"/>
        <w:keepNext w:val="0"/>
        <w:keepLines w:val="0"/>
        <w:widowControl w:val="0"/>
        <w:shd w:val="clear" w:color="auto" w:fill="auto"/>
        <w:bidi w:val="0"/>
        <w:spacing w:before="0" w:after="0" w:line="271" w:lineRule="auto"/>
        <w:ind w:left="0" w:right="0" w:firstLine="840"/>
        <w:jc w:val="left"/>
        <w:rPr>
          <w:sz w:val="22"/>
          <w:szCs w:val="22"/>
        </w:rPr>
      </w:pPr>
      <w:r>
        <w:rPr>
          <w:b/>
          <w:bCs/>
          <w:color w:val="000000"/>
          <w:spacing w:val="0"/>
          <w:w w:val="100"/>
          <w:position w:val="0"/>
          <w:sz w:val="22"/>
          <w:szCs w:val="22"/>
          <w:u w:val="single"/>
          <w:shd w:val="clear" w:color="auto" w:fill="auto"/>
          <w:lang w:val="ru-RU" w:eastAsia="ru-RU" w:bidi="ru-RU"/>
        </w:rPr>
        <w:t>Члены комиссии:</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Вознесенская Н.В. Главный специалист-эксперт отдела контроля закупок;</w:t>
      </w:r>
    </w:p>
    <w:p>
      <w:pPr>
        <w:pStyle w:val="Style5"/>
        <w:keepNext w:val="0"/>
        <w:keepLines w:val="0"/>
        <w:widowControl w:val="0"/>
        <w:shd w:val="clear" w:color="auto" w:fill="auto"/>
        <w:tabs>
          <w:tab w:pos="2182"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Елисеенков А.А.</w:t>
        <w:tab/>
        <w:t>Главный специалист-эксперт отдела контроля закупок;</w:t>
      </w:r>
    </w:p>
    <w:p>
      <w:pPr>
        <w:pStyle w:val="Style5"/>
        <w:keepNext w:val="0"/>
        <w:keepLines w:val="0"/>
        <w:widowControl w:val="0"/>
        <w:shd w:val="clear" w:color="auto" w:fill="auto"/>
        <w:bidi w:val="0"/>
        <w:spacing w:before="0" w:after="240" w:line="240" w:lineRule="auto"/>
        <w:ind w:left="0" w:right="0" w:firstLine="840"/>
        <w:jc w:val="left"/>
        <w:sectPr>
          <w:footnotePr>
            <w:pos w:val="pageBottom"/>
            <w:numFmt w:val="decimal"/>
            <w:numRestart w:val="continuous"/>
          </w:footnotePr>
          <w:type w:val="continuous"/>
          <w:pgSz w:w="11900" w:h="16840"/>
          <w:pgMar w:top="716" w:right="846" w:bottom="508" w:left="1274"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 xml:space="preserve">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w:t>
      </w:r>
    </w:p>
    <w:p>
      <w:pPr>
        <w:pStyle w:val="Style5"/>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15"/>
        <w:keepNext/>
        <w:keepLines/>
        <w:widowControl w:val="0"/>
        <w:shd w:val="clear" w:color="auto" w:fill="auto"/>
        <w:bidi w:val="0"/>
        <w:spacing w:before="0" w:after="0" w:line="283" w:lineRule="auto"/>
        <w:ind w:left="0" w:right="0"/>
        <w:jc w:val="both"/>
      </w:pPr>
      <w:bookmarkStart w:id="2" w:name="bookmark2"/>
      <w:r>
        <w:rPr>
          <w:color w:val="000000"/>
          <w:spacing w:val="0"/>
          <w:w w:val="100"/>
          <w:position w:val="0"/>
          <w:u w:val="single"/>
          <w:shd w:val="clear" w:color="auto" w:fill="auto"/>
          <w:lang w:val="ru-RU" w:eastAsia="ru-RU" w:bidi="ru-RU"/>
        </w:rPr>
        <w:t>в присутствии представителей от:</w:t>
      </w:r>
      <w:bookmarkEnd w:id="2"/>
    </w:p>
    <w:p>
      <w:pPr>
        <w:pStyle w:val="Style5"/>
        <w:keepNext w:val="0"/>
        <w:keepLines w:val="0"/>
        <w:widowControl w:val="0"/>
        <w:shd w:val="clear" w:color="auto" w:fill="auto"/>
        <w:bidi w:val="0"/>
        <w:spacing w:before="0" w:after="0" w:line="283" w:lineRule="auto"/>
        <w:ind w:left="0" w:right="0" w:firstLine="720"/>
        <w:jc w:val="both"/>
      </w:pPr>
      <w:r>
        <w:rPr>
          <w:b/>
          <w:bCs/>
          <w:color w:val="000000"/>
          <w:spacing w:val="0"/>
          <w:w w:val="100"/>
          <w:position w:val="0"/>
          <w:sz w:val="22"/>
          <w:szCs w:val="22"/>
          <w:shd w:val="clear" w:color="auto" w:fill="auto"/>
          <w:lang w:val="ru-RU" w:eastAsia="ru-RU" w:bidi="ru-RU"/>
        </w:rPr>
        <w:t xml:space="preserve">Заявителя: </w:t>
      </w:r>
      <w:r>
        <w:rPr>
          <w:color w:val="000000"/>
          <w:spacing w:val="0"/>
          <w:w w:val="100"/>
          <w:position w:val="0"/>
          <w:sz w:val="24"/>
          <w:szCs w:val="24"/>
          <w:shd w:val="clear" w:color="auto" w:fill="auto"/>
          <w:lang w:val="ru-RU" w:eastAsia="ru-RU" w:bidi="ru-RU"/>
        </w:rPr>
        <w:t>генерального директора Хабарова В.В. (протокол от 29.11.2022 № 29/11);</w:t>
      </w:r>
    </w:p>
    <w:p>
      <w:pPr>
        <w:pStyle w:val="Style5"/>
        <w:keepNext w:val="0"/>
        <w:keepLines w:val="0"/>
        <w:widowControl w:val="0"/>
        <w:shd w:val="clear" w:color="auto" w:fill="auto"/>
        <w:bidi w:val="0"/>
        <w:spacing w:before="0" w:after="0" w:line="283" w:lineRule="auto"/>
        <w:ind w:left="0" w:right="0" w:firstLine="720"/>
        <w:jc w:val="both"/>
      </w:pPr>
      <w:r>
        <w:rPr>
          <w:b/>
          <w:bCs/>
          <w:color w:val="000000"/>
          <w:spacing w:val="0"/>
          <w:w w:val="100"/>
          <w:position w:val="0"/>
          <w:sz w:val="22"/>
          <w:szCs w:val="22"/>
          <w:shd w:val="clear" w:color="auto" w:fill="auto"/>
          <w:lang w:val="ru-RU" w:eastAsia="ru-RU" w:bidi="ru-RU"/>
        </w:rPr>
        <w:t xml:space="preserve">Заказчика: </w:t>
      </w:r>
      <w:r>
        <w:rPr>
          <w:color w:val="000000"/>
          <w:spacing w:val="0"/>
          <w:w w:val="100"/>
          <w:position w:val="0"/>
          <w:sz w:val="24"/>
          <w:szCs w:val="24"/>
          <w:shd w:val="clear" w:color="auto" w:fill="auto"/>
          <w:lang w:val="ru-RU" w:eastAsia="ru-RU" w:bidi="ru-RU"/>
        </w:rPr>
        <w:t>Ломтевой Н.Н. (доверенность от 23.09.2024);</w:t>
      </w:r>
    </w:p>
    <w:p>
      <w:pPr>
        <w:pStyle w:val="Style5"/>
        <w:keepNext w:val="0"/>
        <w:keepLines w:val="0"/>
        <w:widowControl w:val="0"/>
        <w:shd w:val="clear" w:color="auto" w:fill="auto"/>
        <w:bidi w:val="0"/>
        <w:spacing w:before="0" w:after="280" w:line="271" w:lineRule="auto"/>
        <w:ind w:left="0" w:right="0" w:firstLine="720"/>
        <w:jc w:val="both"/>
      </w:pPr>
      <w:r>
        <w:rPr>
          <w:b/>
          <w:bCs/>
          <w:color w:val="000000"/>
          <w:spacing w:val="0"/>
          <w:w w:val="100"/>
          <w:position w:val="0"/>
          <w:sz w:val="22"/>
          <w:szCs w:val="22"/>
          <w:shd w:val="clear" w:color="auto" w:fill="auto"/>
          <w:lang w:val="ru-RU" w:eastAsia="ru-RU" w:bidi="ru-RU"/>
        </w:rPr>
        <w:t xml:space="preserve">Уполномоченного органа: </w:t>
      </w:r>
      <w:r>
        <w:rPr>
          <w:color w:val="000000"/>
          <w:spacing w:val="0"/>
          <w:w w:val="100"/>
          <w:position w:val="0"/>
          <w:sz w:val="24"/>
          <w:szCs w:val="24"/>
          <w:shd w:val="clear" w:color="auto" w:fill="auto"/>
          <w:lang w:val="ru-RU" w:eastAsia="ru-RU" w:bidi="ru-RU"/>
        </w:rPr>
        <w:t>Пантелеевой О.С. (доверенность от 02.04.2024 № 93-Д), Шестакова Л. В. (доверенность от 25.10.2023 № 89-Д).</w:t>
      </w:r>
    </w:p>
    <w:p>
      <w:pPr>
        <w:pStyle w:val="Style15"/>
        <w:keepNext/>
        <w:keepLines/>
        <w:widowControl w:val="0"/>
        <w:shd w:val="clear" w:color="auto" w:fill="auto"/>
        <w:bidi w:val="0"/>
        <w:spacing w:before="0" w:after="0"/>
        <w:ind w:left="0" w:right="0" w:firstLine="0"/>
        <w:jc w:val="center"/>
      </w:pPr>
      <w:bookmarkStart w:id="4" w:name="bookmark4"/>
      <w:r>
        <w:rPr>
          <w:color w:val="000000"/>
          <w:spacing w:val="0"/>
          <w:w w:val="100"/>
          <w:position w:val="0"/>
          <w:shd w:val="clear" w:color="auto" w:fill="auto"/>
          <w:lang w:val="ru-RU" w:eastAsia="ru-RU" w:bidi="ru-RU"/>
        </w:rPr>
        <w:t>УСТАНОВИЛА:</w:t>
      </w:r>
      <w:bookmarkEnd w:id="4"/>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20 сентября 2024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«ГАРАНТ» (далее - Заявитель) на действия конкурсной комиссии, созданной Уполномоченным органом - Контрактным агентством Архангельской области (далее - Уполномоченный орган, конкурсная комиссия), при проведении открытого конкурса в электронной форме на право заключения муниципального контракта на выполнение работ по разработке проектно-сметной документации (в том числе дизайн - проекта) на комплексный капитальный ремонт здания (извещение №0124200000624006176).</w:t>
      </w:r>
    </w:p>
    <w:p>
      <w:pPr>
        <w:pStyle w:val="Style15"/>
        <w:keepNext/>
        <w:keepLines/>
        <w:widowControl w:val="0"/>
        <w:shd w:val="clear" w:color="auto" w:fill="auto"/>
        <w:bidi w:val="0"/>
        <w:spacing w:before="0" w:after="0"/>
        <w:ind w:left="0" w:right="0"/>
        <w:jc w:val="both"/>
      </w:pPr>
      <w:bookmarkStart w:id="6" w:name="bookmark6"/>
      <w:r>
        <w:rPr>
          <w:color w:val="000000"/>
          <w:spacing w:val="0"/>
          <w:w w:val="100"/>
          <w:position w:val="0"/>
          <w:u w:val="single"/>
          <w:shd w:val="clear" w:color="auto" w:fill="auto"/>
          <w:lang w:val="ru-RU" w:eastAsia="ru-RU" w:bidi="ru-RU"/>
        </w:rPr>
        <w:t>Содержание жалобы:</w:t>
      </w:r>
      <w:bookmarkEnd w:id="6"/>
    </w:p>
    <w:p>
      <w:pPr>
        <w:pStyle w:val="Style5"/>
        <w:keepNext w:val="0"/>
        <w:keepLines w:val="0"/>
        <w:widowControl w:val="0"/>
        <w:shd w:val="clear" w:color="auto" w:fill="auto"/>
        <w:bidi w:val="0"/>
        <w:spacing w:before="0" w:after="100"/>
        <w:ind w:left="0" w:right="0" w:firstLine="720"/>
        <w:jc w:val="both"/>
      </w:pPr>
      <w:r>
        <w:rPr>
          <w:color w:val="000000"/>
          <w:spacing w:val="0"/>
          <w:w w:val="100"/>
          <w:position w:val="0"/>
          <w:sz w:val="24"/>
          <w:szCs w:val="24"/>
          <w:shd w:val="clear" w:color="auto" w:fill="auto"/>
          <w:lang w:val="ru-RU" w:eastAsia="ru-RU" w:bidi="ru-RU"/>
        </w:rPr>
        <w:t>Обжалуются действия конкурсной комиссии, созданной Уполномоченным органом, в связи с признанием победителем ООО «ВОРОНЕЖСКОЕ АРХИТЕКТУРНОЕ БЮРО» по результатам рассмотрения заявок на участие в открытом конкурсе в электронной форме.</w:t>
      </w:r>
    </w:p>
    <w:p>
      <w:pPr>
        <w:pStyle w:val="Style5"/>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Заказчик не согласен с доводами Заявителя по основаниям, изложенным в объяснении по жалобе от 25.09.2024 №172.</w:t>
      </w:r>
    </w:p>
    <w:p>
      <w:pPr>
        <w:pStyle w:val="Style5"/>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Уполномоченный орган не согласен с доводами Заявителя по основаниям, изложенным в объяснении по жалобе от 26.09.2024 №314-05-584.</w:t>
      </w:r>
    </w:p>
    <w:p>
      <w:pPr>
        <w:pStyle w:val="Style5"/>
        <w:keepNext w:val="0"/>
        <w:keepLines w:val="0"/>
        <w:widowControl w:val="0"/>
        <w:shd w:val="clear" w:color="auto" w:fill="auto"/>
        <w:bidi w:val="0"/>
        <w:spacing w:before="0" w:after="240" w:line="252" w:lineRule="auto"/>
        <w:ind w:left="0" w:right="0" w:firstLine="720"/>
        <w:jc w:val="both"/>
      </w:pPr>
      <w:r>
        <w:rPr>
          <w:color w:val="000000"/>
          <w:spacing w:val="0"/>
          <w:w w:val="100"/>
          <w:position w:val="0"/>
          <w:sz w:val="24"/>
          <w:szCs w:val="24"/>
          <w:shd w:val="clear" w:color="auto" w:fill="auto"/>
          <w:lang w:val="ru-RU" w:eastAsia="ru-RU" w:bidi="ru-RU"/>
        </w:rPr>
        <w:t>Победитель конкурса ООО «ВОРОНЕЖСКОЕ АРХИТЕКТУРНОЕ БЮРО» представил возражения на жалобу (вх. №8542-ЭП/24 от 23.09.2024).</w:t>
      </w:r>
    </w:p>
    <w:p>
      <w:pPr>
        <w:pStyle w:val="Style15"/>
        <w:keepNext/>
        <w:keepLines/>
        <w:widowControl w:val="0"/>
        <w:shd w:val="clear" w:color="auto" w:fill="auto"/>
        <w:bidi w:val="0"/>
        <w:spacing w:before="0" w:after="0"/>
        <w:ind w:left="0" w:right="0"/>
        <w:jc w:val="both"/>
      </w:pPr>
      <w:bookmarkStart w:id="8" w:name="bookmark8"/>
      <w:r>
        <w:rPr>
          <w:color w:val="000000"/>
          <w:spacing w:val="0"/>
          <w:w w:val="100"/>
          <w:position w:val="0"/>
          <w:shd w:val="clear" w:color="auto" w:fill="auto"/>
          <w:lang w:val="ru-RU" w:eastAsia="ru-RU" w:bidi="ru-RU"/>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bookmarkEnd w:id="8"/>
    </w:p>
    <w:p>
      <w:pPr>
        <w:pStyle w:val="Style5"/>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 определение поставщиков (подрядчиков,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5"/>
        <w:keepNext w:val="0"/>
        <w:keepLines w:val="0"/>
        <w:widowControl w:val="0"/>
        <w:shd w:val="clear" w:color="auto" w:fill="auto"/>
        <w:bidi w:val="0"/>
        <w:spacing w:before="0" w:after="160" w:line="252" w:lineRule="auto"/>
        <w:ind w:left="0" w:right="0" w:firstLine="720"/>
        <w:jc w:val="both"/>
        <w:sectPr>
          <w:headerReference w:type="default" r:id="rId7"/>
          <w:footnotePr>
            <w:pos w:val="pageBottom"/>
            <w:numFmt w:val="decimal"/>
            <w:numRestart w:val="continuous"/>
          </w:footnotePr>
          <w:pgSz w:w="11900" w:h="16840"/>
          <w:pgMar w:top="716" w:right="846" w:bottom="508" w:left="1274" w:header="0" w:footer="80" w:gutter="0"/>
          <w:pgNumType w:start="52"/>
          <w:cols w:space="720"/>
          <w:noEndnote/>
          <w:rtlGutter w:val="0"/>
          <w:docGrid w:linePitch="360"/>
        </w:sectPr>
      </w:pPr>
      <w:r>
        <w:rPr>
          <w:color w:val="000000"/>
          <w:spacing w:val="0"/>
          <w:w w:val="100"/>
          <w:position w:val="0"/>
          <w:sz w:val="24"/>
          <w:szCs w:val="24"/>
          <w:shd w:val="clear" w:color="auto" w:fill="auto"/>
          <w:lang w:val="ru-RU" w:eastAsia="ru-RU" w:bidi="ru-RU"/>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 области, государственных заказчиков Архангельской области, государственных бюджетных учреждений Архангельской области, муниципальных заказчиков Архангельской области, муниципальных бюджетных учреждений муниципальных образований Архангельской области и отдельных юридических лиц при определении поставщиков (подрядчиков,</w:t>
      </w:r>
    </w:p>
    <w:p>
      <w:pPr>
        <w:pStyle w:val="Style5"/>
        <w:keepNext w:val="0"/>
        <w:keepLines w:val="0"/>
        <w:widowControl w:val="0"/>
        <w:shd w:val="clear" w:color="auto" w:fill="auto"/>
        <w:tabs>
          <w:tab w:leader="underscore" w:pos="9205" w:val="left"/>
        </w:tabs>
        <w:bidi w:val="0"/>
        <w:spacing w:before="0" w:after="0" w:line="276" w:lineRule="auto"/>
        <w:ind w:left="0" w:right="0" w:firstLine="0"/>
        <w:jc w:val="both"/>
      </w:pPr>
      <w:r>
        <w:rPr>
          <w:color w:val="000000"/>
          <w:spacing w:val="0"/>
          <w:w w:val="100"/>
          <w:position w:val="0"/>
          <w:sz w:val="18"/>
          <w:szCs w:val="18"/>
          <w:shd w:val="clear" w:color="auto" w:fill="auto"/>
          <w:lang w:val="ru-RU" w:eastAsia="ru-RU" w:bidi="ru-RU"/>
        </w:rPr>
        <w:tab/>
      </w:r>
      <w:r>
        <w:rPr>
          <w:color w:val="000000"/>
          <w:spacing w:val="0"/>
          <w:w w:val="100"/>
          <w:position w:val="0"/>
          <w:sz w:val="18"/>
          <w:szCs w:val="18"/>
          <w:u w:val="single"/>
          <w:shd w:val="clear" w:color="auto" w:fill="auto"/>
          <w:lang w:val="ru-RU" w:eastAsia="ru-RU" w:bidi="ru-RU"/>
        </w:rPr>
        <w:t xml:space="preserve">&gt;3/9 </w:t>
      </w:r>
      <w:r>
        <w:rPr>
          <w:color w:val="000000"/>
          <w:spacing w:val="0"/>
          <w:w w:val="100"/>
          <w:position w:val="0"/>
          <w:sz w:val="24"/>
          <w:szCs w:val="24"/>
          <w:shd w:val="clear" w:color="auto" w:fill="auto"/>
          <w:lang w:val="ru-RU" w:eastAsia="ru-RU" w:bidi="ru-RU"/>
        </w:rPr>
        <w:t>исполнителей) для обеспечения нужд Архангельской области» от 20 декабря 2013 года № 595-пп (далее - Постановление № 595-пп).</w:t>
      </w:r>
    </w:p>
    <w:p>
      <w:pPr>
        <w:pStyle w:val="Style5"/>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формирует извещение об осуществлении закупки и организует проведение закупки.</w:t>
      </w:r>
    </w:p>
    <w:p>
      <w:pPr>
        <w:pStyle w:val="Style5"/>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27.08.2024 Уполномоченным органом на официальном сайте единой информационной системы в сфере закупок в сети Интернет Ьйр://хакирк1.§оу.ги размещено извещение №0124200000624006176 о проведении открытого конкурса в электронной форме на право заключения муниципального контракта на выполение работ по разработке проектно-сметной документации (в том числе дизайн - проекта) на комплексный капитальный ремонт здания (далее - Извещение).</w:t>
      </w:r>
    </w:p>
    <w:p>
      <w:pPr>
        <w:pStyle w:val="Style5"/>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Начальная (максимальная) цена муниципального контракта - 9 000 000,00 рублей.</w:t>
      </w:r>
    </w:p>
    <w:p>
      <w:pPr>
        <w:pStyle w:val="Style5"/>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Оператор электронной площадки - ООО «РТС-тендер».</w:t>
      </w:r>
    </w:p>
    <w:p>
      <w:pPr>
        <w:pStyle w:val="Style5"/>
        <w:keepNext w:val="0"/>
        <w:keepLines w:val="0"/>
        <w:widowControl w:val="0"/>
        <w:shd w:val="clear" w:color="auto" w:fill="auto"/>
        <w:bidi w:val="0"/>
        <w:spacing w:before="0" w:after="280"/>
        <w:ind w:left="0" w:right="0" w:firstLine="76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определения поставщика от 17.09.2024 на участие в открытом конкурсе в электронной форме было подано 10 заявок, которые признаны соответствующими требованиям Извещения. Победителем электронного конкурса признан участник закупки с идентификационным № 117257266 (ООО «ВАБ»),</w:t>
      </w:r>
    </w:p>
    <w:p>
      <w:pPr>
        <w:pStyle w:val="Style5"/>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Заявитель в своей жалобе указал, что победителем закупки ООО «ВАБ» в составе заявки представлены недостоверные сведения по показателю оценки «наибольшая цена одного из исполненных участником закупки договоров», в связи с чем заявка ООО «ВАБ» подлежит отклонению. Заявитель отметил, что весь объем выручки ООО «ВАБ», согласно бухгалтерской отчетности за 2021-2023 года (8305 тыс. рублей в 2023 году; 3224 тыс. рублей в 2022 году; 150 тыс. рублей в 2021 году) несопоставим с заявленной максимальной стоимостью выполненного контракта более 20 000 000рублей.</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Пунктами 3, 4 части 1 статьи 32 ФЗ «О контрактной системе» предусмотрено, что для оценки заявок, окончательных предложений участников закупки заказчик в документации о закупке устанавливает следующие критерии: качественные, функциональные и экологические характеристики объекта закупки;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части 8 статьи 32 ФЗ «О контрактной системе» порядок оценки заявок участников закупки, в том числе предельные величины значимости каждого критерия, устанавливаются положением об оценке заявок на участие в закупке товаров, работ, услуг для обеспечения государственных и муниципальных нужд, утвержденным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 2369 и признании утратившими силу некоторых актов и отдельных положений некоторых актов Правительства Российской Федерации" (далее - Постановление №2604)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Исходя из пункта 2 Положения "оценка заявок" - действия членов комиссии по осуществлению закупок по присвоению в случаях, предусмотренных ФЗ «О контрактной системе», и в соответствии с настоящим Положением баллов заявкам (частям заявок) на основании информации и документов участников закупок.</w:t>
      </w:r>
    </w:p>
    <w:p>
      <w:pPr>
        <w:pStyle w:val="Style5"/>
        <w:keepNext w:val="0"/>
        <w:keepLines w:val="0"/>
        <w:widowControl w:val="0"/>
        <w:shd w:val="clear" w:color="auto" w:fill="auto"/>
        <w:bidi w:val="0"/>
        <w:spacing w:before="0" w:after="0" w:line="240" w:lineRule="auto"/>
        <w:ind w:left="0" w:right="0" w:firstLine="760"/>
        <w:jc w:val="both"/>
        <w:sectPr>
          <w:headerReference w:type="default" r:id="rId8"/>
          <w:footnotePr>
            <w:pos w:val="pageBottom"/>
            <w:numFmt w:val="decimal"/>
            <w:numRestart w:val="continuous"/>
          </w:footnotePr>
          <w:pgSz w:w="11900" w:h="16840"/>
          <w:pgMar w:top="716" w:right="846" w:bottom="508" w:left="1274" w:header="288" w:footer="80" w:gutter="0"/>
          <w:pgNumType w:start="3"/>
          <w:cols w:space="720"/>
          <w:noEndnote/>
          <w:rtlGutter w:val="0"/>
          <w:docGrid w:linePitch="360"/>
        </w:sectPr>
      </w:pPr>
      <w:r>
        <w:rPr>
          <w:color w:val="000000"/>
          <w:spacing w:val="0"/>
          <w:w w:val="100"/>
          <w:position w:val="0"/>
          <w:sz w:val="24"/>
          <w:szCs w:val="24"/>
          <w:shd w:val="clear" w:color="auto" w:fill="auto"/>
          <w:lang w:val="ru-RU" w:eastAsia="ru-RU" w:bidi="ru-RU"/>
        </w:rPr>
        <w:t>В соответствии с пунктом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5"/>
        <w:keepNext w:val="0"/>
        <w:keepLines w:val="0"/>
        <w:widowControl w:val="0"/>
        <w:numPr>
          <w:ilvl w:val="0"/>
          <w:numId w:val="1"/>
        </w:numPr>
        <w:shd w:val="clear" w:color="auto" w:fill="auto"/>
        <w:tabs>
          <w:tab w:pos="1026"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наличие у участников закупки финансовых ресурсов;</w:t>
      </w:r>
    </w:p>
    <w:p>
      <w:pPr>
        <w:pStyle w:val="Style5"/>
        <w:keepNext w:val="0"/>
        <w:keepLines w:val="0"/>
        <w:widowControl w:val="0"/>
        <w:numPr>
          <w:ilvl w:val="0"/>
          <w:numId w:val="1"/>
        </w:numPr>
        <w:shd w:val="clear" w:color="auto" w:fill="auto"/>
        <w:tabs>
          <w:tab w:pos="1051"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наличие у участников закупки на праве собственности или ином законном основании оборудования и других материальных ресурсов;</w:t>
      </w:r>
    </w:p>
    <w:p>
      <w:pPr>
        <w:pStyle w:val="Style5"/>
        <w:keepNext w:val="0"/>
        <w:keepLines w:val="0"/>
        <w:widowControl w:val="0"/>
        <w:numPr>
          <w:ilvl w:val="0"/>
          <w:numId w:val="1"/>
        </w:numPr>
        <w:shd w:val="clear" w:color="auto" w:fill="auto"/>
        <w:tabs>
          <w:tab w:pos="1036"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p>
    <w:p>
      <w:pPr>
        <w:pStyle w:val="Style5"/>
        <w:keepNext w:val="0"/>
        <w:keepLines w:val="0"/>
        <w:widowControl w:val="0"/>
        <w:numPr>
          <w:ilvl w:val="0"/>
          <w:numId w:val="1"/>
        </w:numPr>
        <w:shd w:val="clear" w:color="auto" w:fill="auto"/>
        <w:tabs>
          <w:tab w:pos="102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наличие у участников закупки деловой репутации;</w:t>
      </w:r>
    </w:p>
    <w:p>
      <w:pPr>
        <w:pStyle w:val="Style5"/>
        <w:keepNext w:val="0"/>
        <w:keepLines w:val="0"/>
        <w:widowControl w:val="0"/>
        <w:numPr>
          <w:ilvl w:val="0"/>
          <w:numId w:val="1"/>
        </w:numPr>
        <w:shd w:val="clear" w:color="auto" w:fill="auto"/>
        <w:tabs>
          <w:tab w:pos="105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подпункту "а" пункту 28 Положения для оценки заявок по показателям оценки, в случае применения показателя оценки, предусмотренного подпунктом "в" пункта 24 Положения, применяются один или несколько из следующих детализирующих показателей оценки:</w:t>
      </w:r>
    </w:p>
    <w:p>
      <w:pPr>
        <w:pStyle w:val="Style5"/>
        <w:keepNext w:val="0"/>
        <w:keepLines w:val="0"/>
        <w:widowControl w:val="0"/>
        <w:numPr>
          <w:ilvl w:val="0"/>
          <w:numId w:val="3"/>
        </w:numPr>
        <w:shd w:val="clear" w:color="auto" w:fill="auto"/>
        <w:tabs>
          <w:tab w:pos="925"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общая цена исполненных участником закупки договоров;</w:t>
      </w:r>
    </w:p>
    <w:p>
      <w:pPr>
        <w:pStyle w:val="Style5"/>
        <w:keepNext w:val="0"/>
        <w:keepLines w:val="0"/>
        <w:widowControl w:val="0"/>
        <w:numPr>
          <w:ilvl w:val="0"/>
          <w:numId w:val="3"/>
        </w:numPr>
        <w:shd w:val="clear" w:color="auto" w:fill="auto"/>
        <w:tabs>
          <w:tab w:pos="925"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общее количество исполненных участником закупки договоров;</w:t>
      </w:r>
    </w:p>
    <w:p>
      <w:pPr>
        <w:pStyle w:val="Style5"/>
        <w:keepNext w:val="0"/>
        <w:keepLines w:val="0"/>
        <w:widowControl w:val="0"/>
        <w:numPr>
          <w:ilvl w:val="0"/>
          <w:numId w:val="3"/>
        </w:numPr>
        <w:shd w:val="clear" w:color="auto" w:fill="auto"/>
        <w:tabs>
          <w:tab w:pos="921"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наибольшая цена одного из исполненных участником закупки договоров.</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Подпунктом "в" пункта 28 Положения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Извещении в файле «Порядок рассмотрения и оценки заявок на участие в конкурсах» Заказчиком установлены критерии:</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1. «Цена контракта, сумма цен единиц товара, работы, услуги» со значимостью 60%,</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2.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со значимостью 40% и показателем оценки «Наличие у участников закупки опыта поставки товара, выполнения работы, оказания услуги, связанного с предметом контракта» и детализирующими показателями:</w:t>
      </w:r>
    </w:p>
    <w:p>
      <w:pPr>
        <w:pStyle w:val="Style5"/>
        <w:keepNext w:val="0"/>
        <w:keepLines w:val="0"/>
        <w:widowControl w:val="0"/>
        <w:numPr>
          <w:ilvl w:val="0"/>
          <w:numId w:val="5"/>
        </w:numPr>
        <w:shd w:val="clear" w:color="auto" w:fill="auto"/>
        <w:tabs>
          <w:tab w:pos="91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Характеристика квалификации участников закупки №1 (наибольшая цена одного из исполненных участником закупки договоров) со значимостью 50%.</w:t>
      </w:r>
    </w:p>
    <w:p>
      <w:pPr>
        <w:pStyle w:val="Style5"/>
        <w:keepNext w:val="0"/>
        <w:keepLines w:val="0"/>
        <w:widowControl w:val="0"/>
        <w:numPr>
          <w:ilvl w:val="0"/>
          <w:numId w:val="5"/>
        </w:numPr>
        <w:shd w:val="clear" w:color="auto" w:fill="auto"/>
        <w:tabs>
          <w:tab w:pos="91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Характеристика квалификации участников закупки № 2 (общее количество исполненных участником закупки договоров) со значимостью 50%.</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Согласно «Порядка рассмотрения и оценки заявок на участие в конкурсах» Извещения к оценке по показателю оценки «Наличие у участников закупки опыта поставки товара, выполнения работы, оказания услуги, связанного с предметом контракта» принимается </w:t>
      </w:r>
      <w:r>
        <w:rPr>
          <w:color w:val="000000"/>
          <w:spacing w:val="0"/>
          <w:w w:val="100"/>
          <w:position w:val="0"/>
          <w:sz w:val="24"/>
          <w:szCs w:val="24"/>
          <w:u w:val="single"/>
          <w:shd w:val="clear" w:color="auto" w:fill="auto"/>
          <w:lang w:val="ru-RU" w:eastAsia="ru-RU" w:bidi="ru-RU"/>
        </w:rPr>
        <w:t>исключительно исполненный договор, предусматривающий разработку проектной документации на выполнение работ по строительству и (или) реконструкции и (или) капитальному ремонту объектов капитального строительства</w:t>
      </w:r>
      <w:r>
        <w:rPr>
          <w:color w:val="000000"/>
          <w:spacing w:val="0"/>
          <w:w w:val="100"/>
          <w:position w:val="0"/>
          <w:sz w:val="24"/>
          <w:szCs w:val="24"/>
          <w:shd w:val="clear" w:color="auto" w:fill="auto"/>
          <w:lang w:val="ru-RU" w:eastAsia="ru-RU" w:bidi="ru-RU"/>
        </w:rPr>
        <w:t xml:space="preserve"> (за исключением линейных объектов).</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Участник закупки представляет в качестве подтверждения наличия у него опыта выполнения работы, связанного с предметом контракта, следующие документы:</w:t>
      </w:r>
    </w:p>
    <w:p>
      <w:pPr>
        <w:pStyle w:val="Style5"/>
        <w:keepNext w:val="0"/>
        <w:keepLines w:val="0"/>
        <w:widowControl w:val="0"/>
        <w:numPr>
          <w:ilvl w:val="0"/>
          <w:numId w:val="5"/>
        </w:numPr>
        <w:shd w:val="clear" w:color="auto" w:fill="auto"/>
        <w:tabs>
          <w:tab w:pos="157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исполненный договор (договоры);</w:t>
      </w:r>
    </w:p>
    <w:p>
      <w:pPr>
        <w:pStyle w:val="Style5"/>
        <w:keepNext w:val="0"/>
        <w:keepLines w:val="0"/>
        <w:widowControl w:val="0"/>
        <w:numPr>
          <w:ilvl w:val="0"/>
          <w:numId w:val="5"/>
        </w:numPr>
        <w:shd w:val="clear" w:color="auto" w:fill="auto"/>
        <w:tabs>
          <w:tab w:pos="921"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акт (акты) приемки выполненных работ, составленный при исполнении такого договора (договоров), при этом последний акт, составленный при исполнении договора должен быть подписан не ранее чем за 5 лет до даты окончания срока подачи заявок.</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Указанные выше документы должны быть представлены в заявке участника закупки в полном объеме и со всеми приложениями, за исключением случаев, предусмотренных подпунктом "д" пункта 31, подпунктом "г" пункта 32 и подпунктом "г" пункта 33</w:t>
      </w:r>
    </w:p>
    <w:p>
      <w:pPr>
        <w:pStyle w:val="Style5"/>
        <w:keepNext w:val="0"/>
        <w:keepLines w:val="0"/>
        <w:widowControl w:val="0"/>
        <w:shd w:val="clear" w:color="auto" w:fill="auto"/>
        <w:bidi w:val="0"/>
        <w:spacing w:before="0" w:after="200"/>
        <w:ind w:left="0" w:right="0" w:firstLine="0"/>
        <w:jc w:val="both"/>
      </w:pPr>
      <w:r>
        <w:rPr>
          <w:color w:val="000000"/>
          <w:spacing w:val="0"/>
          <w:w w:val="100"/>
          <w:position w:val="0"/>
          <w:sz w:val="24"/>
          <w:szCs w:val="24"/>
          <w:shd w:val="clear" w:color="auto" w:fill="auto"/>
          <w:lang w:val="ru-RU" w:eastAsia="ru-RU" w:bidi="ru-RU"/>
        </w:rPr>
        <w:t>Положения. При проведении открытого конкурса в электронной форме такие документы направляются в форме электронных документов или в форме электронных образов бумажных документов.</w:t>
      </w:r>
    </w:p>
    <w:p>
      <w:pPr>
        <w:pStyle w:val="Style5"/>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определения поставщика от 17.09.2024 заявке победителя № 117257266 по критерию «Квалификация участников закупки...» присвоено 26,53 балла.</w:t>
      </w:r>
    </w:p>
    <w:p>
      <w:pPr>
        <w:pStyle w:val="Style5"/>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составе заявки победителем закупки был представлен 21 договор.</w:t>
      </w:r>
    </w:p>
    <w:p>
      <w:pPr>
        <w:pStyle w:val="Style5"/>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Представитель Уполномоченного органа в заседании Комиссии Архангельского УФАС России пояснила, что по результатам анализа заявки победителя к оценке было принято 17 договоров. При этом, наибольшая цена одного из исполненных участником закупки договоров составила 23 905 200,00 рублей. Конкурсной комиссией были проанализированы в совокупности все документы, представленные победителем закупки, сомнений в недостоверности предоставленных сведений не возникло.</w:t>
      </w:r>
    </w:p>
    <w:p>
      <w:pPr>
        <w:pStyle w:val="Style5"/>
        <w:keepNext w:val="0"/>
        <w:keepLines w:val="0"/>
        <w:widowControl w:val="0"/>
        <w:shd w:val="clear" w:color="auto" w:fill="auto"/>
        <w:tabs>
          <w:tab w:pos="6624" w:val="left"/>
          <w:tab w:pos="7355"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Как подтверждается материалами дела, по детализирующему показателю наибольшая цена одного из исполненных участником закупки договоров Победителем представлен договор подряда от 27.02.2023</w:t>
        <w:tab/>
        <w:t>№</w:t>
        <w:tab/>
        <w:t>51, заключенный</w:t>
      </w:r>
    </w:p>
    <w:p>
      <w:pPr>
        <w:pStyle w:val="Style5"/>
        <w:keepNext w:val="0"/>
        <w:keepLines w:val="0"/>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ru-RU" w:eastAsia="ru-RU" w:bidi="ru-RU"/>
        </w:rPr>
        <w:t>с ООО «ПРИМСТРОЙМОНТАЖ», на сумму 23 905 200,00 рублей.</w:t>
      </w:r>
    </w:p>
    <w:p>
      <w:pPr>
        <w:pStyle w:val="Style5"/>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пунктом 1.1 договора от 27.02.2023 № 51 предметом договора является выполнение работ по разработке проектной документации на строительство промышленного складского помещения.</w:t>
      </w:r>
    </w:p>
    <w:p>
      <w:pPr>
        <w:pStyle w:val="Style5"/>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Технического задания (приложение №1) представленного договора необходимо выполнить инженерные изыскания. Результатом выполнения работ являются технические отчеты (пояснительная записка, текстовые и графические приложения, которые должны соответствовать требованиям нормативных документов и техническому заданию).</w:t>
      </w:r>
    </w:p>
    <w:p>
      <w:pPr>
        <w:pStyle w:val="Style5"/>
        <w:keepNext w:val="0"/>
        <w:keepLines w:val="0"/>
        <w:widowControl w:val="0"/>
        <w:shd w:val="clear" w:color="auto" w:fill="auto"/>
        <w:bidi w:val="0"/>
        <w:spacing w:before="0" w:after="280"/>
        <w:ind w:left="0" w:right="0" w:firstLine="740"/>
        <w:jc w:val="both"/>
      </w:pPr>
      <w:r>
        <w:rPr>
          <w:color w:val="000000"/>
          <w:spacing w:val="0"/>
          <w:w w:val="100"/>
          <w:position w:val="0"/>
          <w:sz w:val="24"/>
          <w:szCs w:val="24"/>
          <w:shd w:val="clear" w:color="auto" w:fill="auto"/>
          <w:lang w:val="ru-RU" w:eastAsia="ru-RU" w:bidi="ru-RU"/>
        </w:rPr>
        <w:t>Исполнение договора подтверждено актом от 21.09.2023 №205, где указано, что проводились работы по разработке сметной документации на строительство промышленного складского помещения.</w:t>
      </w:r>
    </w:p>
    <w:p>
      <w:pPr>
        <w:pStyle w:val="Style5"/>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Представитель Закачика в заседании Комиссии Архангельского УФАС России сообщила, что наименование работ, услуг, указанных в акте от 21.09.2023 №205, не совпадает с наименованием работ, услуг, указанных в договоре от 27.02.2023 № 51. Кроме того, состав работ, определенный Приложением № 1 к Договору, не соотносится ни с предметом договора, ни с видом работ, указанных в акте приемки. Приложение № 1 целиком и полностью посвящено проведению инженерных изысканий, о чем говорит и состав работ, и перечень нормативных документов, на основании которых они должны выполняться, и требования к результатам работ, передаваемых Заказчику. Проведение проектных работ в какой-либо части Приложением № 1 не предусмотрено. При этом, инженерные изыскания являются отдельным, отличным от проектных, видом работ. Заказчик полагает, что выполнение работ по договору надлежащим образом не подтверждено.</w:t>
      </w:r>
    </w:p>
    <w:p>
      <w:pPr>
        <w:pStyle w:val="Style5"/>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При этом согласно части 2 статьи 48 Градостроительного кодекса Российской Федерации (далее - ГрК РФ)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 технические решения для обеспечения строительства, реконструкции объектов капитального строительства, их частей, капитального ремонта.</w:t>
      </w:r>
    </w:p>
    <w:p>
      <w:pPr>
        <w:pStyle w:val="Style5"/>
        <w:keepNext w:val="0"/>
        <w:keepLines w:val="0"/>
        <w:widowControl w:val="0"/>
        <w:shd w:val="clear" w:color="auto" w:fill="auto"/>
        <w:bidi w:val="0"/>
        <w:spacing w:before="0" w:after="0" w:line="252" w:lineRule="auto"/>
        <w:ind w:left="0" w:right="0" w:firstLine="740"/>
        <w:jc w:val="both"/>
        <w:sectPr>
          <w:headerReference w:type="default" r:id="rId9"/>
          <w:headerReference w:type="first" r:id="rId10"/>
          <w:footnotePr>
            <w:pos w:val="pageBottom"/>
            <w:numFmt w:val="decimal"/>
            <w:numRestart w:val="continuous"/>
          </w:footnotePr>
          <w:pgSz w:w="11900" w:h="16840"/>
          <w:pgMar w:top="716" w:right="846" w:bottom="508" w:left="1274" w:header="0" w:footer="3" w:gutter="0"/>
          <w:pgNumType w:start="54"/>
          <w:cols w:space="720"/>
          <w:noEndnote/>
          <w:titlePg/>
          <w:rtlGutter w:val="0"/>
          <w:docGrid w:linePitch="360"/>
        </w:sectPr>
      </w:pPr>
      <w:r>
        <w:rPr>
          <w:color w:val="000000"/>
          <w:spacing w:val="0"/>
          <w:w w:val="100"/>
          <w:position w:val="0"/>
          <w:sz w:val="24"/>
          <w:szCs w:val="24"/>
          <w:shd w:val="clear" w:color="auto" w:fill="auto"/>
          <w:lang w:val="ru-RU" w:eastAsia="ru-RU" w:bidi="ru-RU"/>
        </w:rPr>
        <w:t xml:space="preserve">В силу части 13 статьи 48 ГрК РФ состав и требования к содержанию разделов проектной документации, представляемой на экспертизу проектной документации и в органы государственного строительного надзора, устанавливаются постановлением Правительства Российской Федерации от 16.02.2008 № 87 «О составе разделов проектной документации и требованиях к их содержанию» (далее - Постановление № 87) и дифференцируются применительно к различным видам объектов капитального </w:t>
      </w:r>
    </w:p>
    <w:p>
      <w:pPr>
        <w:pStyle w:val="Style5"/>
        <w:keepNext w:val="0"/>
        <w:keepLines w:val="0"/>
        <w:widowControl w:val="0"/>
        <w:shd w:val="clear" w:color="auto" w:fill="auto"/>
        <w:bidi w:val="0"/>
        <w:spacing w:before="0" w:after="0" w:line="252" w:lineRule="auto"/>
        <w:ind w:left="0" w:right="0" w:firstLine="0"/>
        <w:jc w:val="both"/>
      </w:pPr>
      <w:r>
        <w:rPr>
          <w:color w:val="000000"/>
          <w:spacing w:val="0"/>
          <w:w w:val="100"/>
          <w:position w:val="0"/>
          <w:sz w:val="24"/>
          <w:szCs w:val="24"/>
          <w:shd w:val="clear" w:color="auto" w:fill="auto"/>
          <w:lang w:val="ru-RU" w:eastAsia="ru-RU" w:bidi="ru-RU"/>
        </w:rPr>
        <w:t>строительства (в том числе к линейным объектам), а также в зависимости от назначения объектов капитального строительства, видов работ (строительство, реконструкция, капитальный ремонт объектов капитального строительства), их содержания, источников финансирования работ и выделения отдельных этапов строительства, реконструкции в соответствии с требованиями статьи 48 ГрК РФ и с учетом особенностей, указанных в части 13 статьи 48 ГрК РФ.</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пункту 3(1) Постановления № 87 в состав проектной документации для строительства объектов капитального строительства производственного и непроизводственного назначения, а также проектной документации, подготовленной в отношении отдельных этапов строительства объектов капитального строительства производственного и непроизводственного назначения, в обязательном порядке включается а) раздел 1 "Пояснительная записка";</w:t>
      </w:r>
    </w:p>
    <w:p>
      <w:pPr>
        <w:pStyle w:val="Style5"/>
        <w:keepNext w:val="0"/>
        <w:keepLines w:val="0"/>
        <w:widowControl w:val="0"/>
        <w:numPr>
          <w:ilvl w:val="0"/>
          <w:numId w:val="7"/>
        </w:numPr>
        <w:shd w:val="clear" w:color="auto" w:fill="auto"/>
        <w:tabs>
          <w:tab w:pos="104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раздел 2 "Схема планировочной организации земельного участка";</w:t>
      </w:r>
    </w:p>
    <w:p>
      <w:pPr>
        <w:pStyle w:val="Style5"/>
        <w:keepNext w:val="0"/>
        <w:keepLines w:val="0"/>
        <w:widowControl w:val="0"/>
        <w:numPr>
          <w:ilvl w:val="0"/>
          <w:numId w:val="7"/>
        </w:numPr>
        <w:shd w:val="clear" w:color="auto" w:fill="auto"/>
        <w:tabs>
          <w:tab w:pos="103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раздел 3 "Объемно-планировочные и архитектурные решения";</w:t>
      </w:r>
    </w:p>
    <w:p>
      <w:pPr>
        <w:pStyle w:val="Style5"/>
        <w:keepNext w:val="0"/>
        <w:keepLines w:val="0"/>
        <w:widowControl w:val="0"/>
        <w:numPr>
          <w:ilvl w:val="0"/>
          <w:numId w:val="7"/>
        </w:numPr>
        <w:shd w:val="clear" w:color="auto" w:fill="auto"/>
        <w:tabs>
          <w:tab w:pos="102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раздел 4 "Конструктивные решения";</w:t>
      </w:r>
    </w:p>
    <w:p>
      <w:pPr>
        <w:pStyle w:val="Style5"/>
        <w:keepNext w:val="0"/>
        <w:keepLines w:val="0"/>
        <w:widowControl w:val="0"/>
        <w:numPr>
          <w:ilvl w:val="0"/>
          <w:numId w:val="7"/>
        </w:numPr>
        <w:shd w:val="clear" w:color="auto" w:fill="auto"/>
        <w:tabs>
          <w:tab w:pos="1047"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раздел 5 "Сведения об инженерном оборудовании, о сетях и системах инженерно- технического обеспечения";</w:t>
      </w:r>
    </w:p>
    <w:p>
      <w:pPr>
        <w:pStyle w:val="Style5"/>
        <w:keepNext w:val="0"/>
        <w:keepLines w:val="0"/>
        <w:widowControl w:val="0"/>
        <w:numPr>
          <w:ilvl w:val="0"/>
          <w:numId w:val="7"/>
        </w:numPr>
        <w:shd w:val="clear" w:color="auto" w:fill="auto"/>
        <w:tabs>
          <w:tab w:pos="1029"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раздел 6 "Технологические решения" (для объектов капитального строительства непроизводственного назначения разрабатывается в случае наличия требования о его разработке в задании на проектирование);</w:t>
      </w:r>
    </w:p>
    <w:p>
      <w:pPr>
        <w:pStyle w:val="Style5"/>
        <w:keepNext w:val="0"/>
        <w:keepLines w:val="0"/>
        <w:widowControl w:val="0"/>
        <w:numPr>
          <w:ilvl w:val="0"/>
          <w:numId w:val="7"/>
        </w:numPr>
        <w:shd w:val="clear" w:color="auto" w:fill="auto"/>
        <w:tabs>
          <w:tab w:pos="108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раздел 7 "Проект организации строительства", содержащий в том числе проект организации работ по сносу объектов капитального строительства, их частей (при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pPr>
        <w:pStyle w:val="Style5"/>
        <w:keepNext w:val="0"/>
        <w:keepLines w:val="0"/>
        <w:widowControl w:val="0"/>
        <w:numPr>
          <w:ilvl w:val="0"/>
          <w:numId w:val="7"/>
        </w:numPr>
        <w:shd w:val="clear" w:color="auto" w:fill="auto"/>
        <w:tabs>
          <w:tab w:pos="102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раздел 8 "Мероприятия по охране окружающей среды";</w:t>
      </w:r>
    </w:p>
    <w:p>
      <w:pPr>
        <w:pStyle w:val="Style5"/>
        <w:keepNext w:val="0"/>
        <w:keepLines w:val="0"/>
        <w:widowControl w:val="0"/>
        <w:numPr>
          <w:ilvl w:val="0"/>
          <w:numId w:val="7"/>
        </w:numPr>
        <w:shd w:val="clear" w:color="auto" w:fill="auto"/>
        <w:tabs>
          <w:tab w:pos="105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раздел 9 "Мероприятия по обеспечению пожарной безопасности";</w:t>
      </w:r>
    </w:p>
    <w:p>
      <w:pPr>
        <w:pStyle w:val="Style5"/>
        <w:keepNext w:val="0"/>
        <w:keepLines w:val="0"/>
        <w:widowControl w:val="0"/>
        <w:numPr>
          <w:ilvl w:val="0"/>
          <w:numId w:val="7"/>
        </w:numPr>
        <w:shd w:val="clear" w:color="auto" w:fill="auto"/>
        <w:tabs>
          <w:tab w:pos="1029"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раздел 10 "Требования к обеспечению безопасной эксплуатации объектов капитального строительства";</w:t>
      </w:r>
    </w:p>
    <w:p>
      <w:pPr>
        <w:pStyle w:val="Style5"/>
        <w:keepNext w:val="0"/>
        <w:keepLines w:val="0"/>
        <w:widowControl w:val="0"/>
        <w:numPr>
          <w:ilvl w:val="0"/>
          <w:numId w:val="7"/>
        </w:numPr>
        <w:shd w:val="clear" w:color="auto" w:fill="auto"/>
        <w:tabs>
          <w:tab w:pos="1036"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раздел 11 "Мероприятия по обеспечению доступа инвалидов к объекту капитального строительства";</w:t>
      </w:r>
    </w:p>
    <w:p>
      <w:pPr>
        <w:pStyle w:val="Style5"/>
        <w:keepNext w:val="0"/>
        <w:keepLines w:val="0"/>
        <w:widowControl w:val="0"/>
        <w:numPr>
          <w:ilvl w:val="0"/>
          <w:numId w:val="7"/>
        </w:numPr>
        <w:shd w:val="clear" w:color="auto" w:fill="auto"/>
        <w:tabs>
          <w:tab w:pos="1069"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раздел 12 "Смета на строительство, реконструкцию, капитальный ремонт, снос объекта капитального строительства" (разрабатывается в случаях, указанных в пункте 3(4) настоящего Положения);</w:t>
      </w:r>
    </w:p>
    <w:p>
      <w:pPr>
        <w:pStyle w:val="Style5"/>
        <w:keepNext w:val="0"/>
        <w:keepLines w:val="0"/>
        <w:widowControl w:val="0"/>
        <w:numPr>
          <w:ilvl w:val="0"/>
          <w:numId w:val="7"/>
        </w:numPr>
        <w:shd w:val="clear" w:color="auto" w:fill="auto"/>
        <w:tabs>
          <w:tab w:pos="1044" w:val="left"/>
        </w:tabs>
        <w:bidi w:val="0"/>
        <w:spacing w:before="0" w:after="180"/>
        <w:ind w:left="0" w:right="0" w:firstLine="720"/>
        <w:jc w:val="both"/>
      </w:pPr>
      <w:r>
        <w:rPr>
          <w:color w:val="000000"/>
          <w:spacing w:val="0"/>
          <w:w w:val="100"/>
          <w:position w:val="0"/>
          <w:sz w:val="24"/>
          <w:szCs w:val="24"/>
          <w:shd w:val="clear" w:color="auto" w:fill="auto"/>
          <w:lang w:val="ru-RU" w:eastAsia="ru-RU" w:bidi="ru-RU"/>
        </w:rPr>
        <w:t>раздел 13 "Иная документация в случаях, предусмотренных законодательными и иными нормативными правовыми актами Российской Федерации".</w:t>
      </w:r>
    </w:p>
    <w:p>
      <w:pPr>
        <w:pStyle w:val="Style5"/>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Из анализа договора от 27.02.2023 № 51 на выполнение работ по разработке проектной документации на строительство промышленного складского помещения, представленного победителем закупки в подтверждение показателя оценки «наибольшая цена одного из исполненных участником закупки договоров», следует, что техническое задание указанного договора не содержит требования о разработке разделов проектно</w:t>
        <w:softHyphen/>
        <w:t>сметной документации, поименованных в пункте 3(1) Постановления № 87.</w:t>
      </w:r>
    </w:p>
    <w:p>
      <w:pPr>
        <w:pStyle w:val="Style5"/>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В Техническом задании представленного договора указано лишь требование о выполнении инженерных изысканий, результатом которых являются технические отчеты (пояснительная записка, текстовые и графические приложения, которые должны соответствовать требованиям нормативных документов и техническому заданию).</w:t>
      </w:r>
    </w:p>
    <w:p>
      <w:pPr>
        <w:pStyle w:val="Style5"/>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В связи с чем, сметная документация на строительство промышленного складского помещения, о разработке которой составлен акт от 21.09.2023 №205, не могла быть результатом выполнения работ по представленному договору от 27.02.2023 № 51.</w:t>
      </w:r>
    </w:p>
    <w:p>
      <w:pPr>
        <w:pStyle w:val="Style5"/>
        <w:keepNext w:val="0"/>
        <w:keepLines w:val="0"/>
        <w:widowControl w:val="0"/>
        <w:shd w:val="clear" w:color="auto" w:fill="auto"/>
        <w:bidi w:val="0"/>
        <w:spacing w:before="0" w:after="80" w:line="252" w:lineRule="auto"/>
        <w:ind w:left="0" w:right="0" w:firstLine="720"/>
        <w:jc w:val="both"/>
        <w:sectPr>
          <w:headerReference w:type="default" r:id="rId11"/>
          <w:footnotePr>
            <w:pos w:val="pageBottom"/>
            <w:numFmt w:val="decimal"/>
            <w:numRestart w:val="continuous"/>
          </w:footnotePr>
          <w:pgSz w:w="11900" w:h="16840"/>
          <w:pgMar w:top="716" w:right="846" w:bottom="508" w:left="1274" w:header="0" w:footer="80" w:gutter="0"/>
          <w:pgNumType w:start="6"/>
          <w:cols w:space="720"/>
          <w:noEndnote/>
          <w:rtlGutter w:val="0"/>
          <w:docGrid w:linePitch="360"/>
        </w:sectPr>
      </w:pPr>
      <w:r>
        <w:rPr>
          <w:color w:val="000000"/>
          <w:spacing w:val="0"/>
          <w:w w:val="100"/>
          <w:position w:val="0"/>
          <w:sz w:val="24"/>
          <w:szCs w:val="24"/>
          <w:shd w:val="clear" w:color="auto" w:fill="auto"/>
          <w:lang w:val="ru-RU" w:eastAsia="ru-RU" w:bidi="ru-RU"/>
        </w:rPr>
        <w:t>Кроме того, согласно данным сайта Ьйрз^/геезЩпорпх.ги/ «Единый реестр сведений о членах саморегулируемых организаций в области инженерных изысканий, архитектурно- строительного проектирования и их обязательствах» победитель ООО «ВОРОНЕЖСКОЕ АРХИТЕКТУРНОЕ БЮРО» не является членом саморегулируемой организации в области</w:t>
      </w:r>
    </w:p>
    <w:p>
      <w:pPr>
        <w:pStyle w:val="Style5"/>
        <w:keepNext w:val="0"/>
        <w:keepLines w:val="0"/>
        <w:widowControl w:val="0"/>
        <w:shd w:val="clear" w:color="auto" w:fill="auto"/>
        <w:tabs>
          <w:tab w:leader="underscore" w:pos="9198" w:val="left"/>
        </w:tabs>
        <w:bidi w:val="0"/>
        <w:spacing w:before="0" w:after="240" w:line="276" w:lineRule="auto"/>
        <w:ind w:left="0" w:right="0" w:firstLine="0"/>
        <w:jc w:val="both"/>
      </w:pPr>
      <w:r>
        <w:rPr>
          <w:color w:val="000000"/>
          <w:spacing w:val="0"/>
          <w:w w:val="100"/>
          <w:position w:val="0"/>
          <w:sz w:val="18"/>
          <w:szCs w:val="18"/>
          <w:shd w:val="clear" w:color="auto" w:fill="auto"/>
          <w:lang w:val="ru-RU" w:eastAsia="ru-RU" w:bidi="ru-RU"/>
        </w:rPr>
        <w:tab/>
      </w:r>
      <w:r>
        <w:rPr>
          <w:color w:val="000000"/>
          <w:spacing w:val="0"/>
          <w:w w:val="100"/>
          <w:position w:val="0"/>
          <w:sz w:val="18"/>
          <w:szCs w:val="18"/>
          <w:u w:val="single"/>
          <w:shd w:val="clear" w:color="auto" w:fill="auto"/>
          <w:lang w:val="ru-RU" w:eastAsia="ru-RU" w:bidi="ru-RU"/>
        </w:rPr>
        <w:t xml:space="preserve">57/9 </w:t>
      </w:r>
      <w:r>
        <w:rPr>
          <w:color w:val="000000"/>
          <w:spacing w:val="0"/>
          <w:w w:val="100"/>
          <w:position w:val="0"/>
          <w:sz w:val="24"/>
          <w:szCs w:val="24"/>
          <w:shd w:val="clear" w:color="auto" w:fill="auto"/>
          <w:lang w:val="ru-RU" w:eastAsia="ru-RU" w:bidi="ru-RU"/>
        </w:rPr>
        <w:t>инженерных изысканий, в связи с чем возможность выполнить работы по инженерным изысканиям, указанные в техническом задании договора от 27.02.2023 №51, своими силами в соответствии с законодательством РФ у ООО «ВОРОНЕЖСКОЕ АРХИТЕКТУРНОЕ БЮРО» отсутствует.</w:t>
      </w:r>
    </w:p>
    <w:p>
      <w:pPr>
        <w:pStyle w:val="Style5"/>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Относительно довода Заявителя о том, что весь объем выручки ООО «ВАБ» И 679 000,00 рублей, согласно бухгалтерской отчетности за 2021-2023 годы (8305 тыс. рублей в 2023 году; 3224 тыс. рублей в 2022 году; 150 тыс. рублей в 2021 году) несопоставим с заявленной максимальной стоимостью выполненного контракта более 20 000 000 рублей Комиссия Архангельского УФАС России отмечает следующее.</w:t>
      </w:r>
    </w:p>
    <w:p>
      <w:pPr>
        <w:pStyle w:val="Style5"/>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В соответствии с частью 1 статьи 9 Федерального закона 06.12.2011 № 402-ФЗ "О бухгалтерском учете" (далее - Закон о бухгалтерском учете) каждый факт хозяйственной жизни подлежит оформлению первичным учетным документом. Не допускается принятие к бухгалтерскому учету документов, которыми оформляются не имевшие места факты хозяйственной жизни, в том числе лежащие в основе мнимых и притворных сделок.</w:t>
      </w:r>
    </w:p>
    <w:p>
      <w:pPr>
        <w:pStyle w:val="Style5"/>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Согласно часть 1 статьи 10 Закона о бухгалтерском учете, содержащиеся в первичных учетных документах, подлежат своевременной регистрации и накоплению в регистрах бухгалтерского учета.</w:t>
      </w:r>
    </w:p>
    <w:p>
      <w:pPr>
        <w:pStyle w:val="Style5"/>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В соответствии с частью 1 статьи 13 Закона о бухгалтерском учете бухгалтерская (финансовая) отчетность должна давать достоверное представление о финансовом положении экономического субъекта на отчетную дату, финансовом результате его деятельности и движении денежных средств за отчетный период, необходимое пользователям этой отчетности для принятия экономических решений.</w:t>
      </w:r>
    </w:p>
    <w:p>
      <w:pPr>
        <w:pStyle w:val="Style5"/>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Бухгалтерская (финансовая) отчетность должна составляться на основе данных, содержащихся в регистрах бухгалтерского учета, а также информации, определенной федеральными и отраслевыми стандартами.</w:t>
      </w:r>
    </w:p>
    <w:p>
      <w:pPr>
        <w:pStyle w:val="Style5"/>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При этом в силу части 11 статьи 13 Закона о бухгалтерском учете в отношении бухгалтерской (финансовой) отчетности не может быть установлен режим коммерческой тайны.</w:t>
      </w:r>
    </w:p>
    <w:p>
      <w:pPr>
        <w:pStyle w:val="Style5"/>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Согласно части 1 статьи 14 Закона о бухгалтерском учете годовая бухгалтерская (финансовая) отчетность, за исключением случаев, установленных Законом о бухгалтерском учете, состоит из бухгалтерского баланса, отчета о финансовых результатах и приложений к ним.</w:t>
      </w:r>
    </w:p>
    <w:p>
      <w:pPr>
        <w:pStyle w:val="Style5"/>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В соответствии с пунктом 26 "Приказа Минфина России от 29.07.1998 И 34н "Об утверждении Положения по ведению бухгалтерского учета и бухгалтерской отчетности в Российской Федерации" для обеспечения достоверности данных бухгалтерского учета и бухгалтерской отчетности организации обязаны проводить инвентаризацию имущества и обязательств, в ходе которой проверяются и документально подтверждаются их наличие, состояние и оценка.</w:t>
      </w:r>
    </w:p>
    <w:p>
      <w:pPr>
        <w:pStyle w:val="Style5"/>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Порядок (количество инвентаризаций в отчетном году, даты их проведения, перечень имущества и обязательств, проверяемых при каждой из них, и т.д.) проведения инвентаризации определяется руководителем организации, за исключением случаев, когда проведение инвентаризации обязательно.</w:t>
      </w:r>
    </w:p>
    <w:p>
      <w:pPr>
        <w:pStyle w:val="Style5"/>
        <w:keepNext w:val="0"/>
        <w:keepLines w:val="0"/>
        <w:widowControl w:val="0"/>
        <w:shd w:val="clear" w:color="auto" w:fill="auto"/>
        <w:bidi w:val="0"/>
        <w:spacing w:before="0" w:after="120" w:line="252" w:lineRule="auto"/>
        <w:ind w:left="0" w:right="0" w:firstLine="740"/>
        <w:jc w:val="both"/>
        <w:sectPr>
          <w:headerReference w:type="default" r:id="rId12"/>
          <w:footnotePr>
            <w:pos w:val="pageBottom"/>
            <w:numFmt w:val="decimal"/>
            <w:numRestart w:val="continuous"/>
          </w:footnotePr>
          <w:pgSz w:w="11900" w:h="16840"/>
          <w:pgMar w:top="532" w:right="864" w:bottom="532" w:left="1407" w:header="104" w:footer="104" w:gutter="0"/>
          <w:cols w:space="720"/>
          <w:noEndnote/>
          <w:rtlGutter w:val="0"/>
          <w:docGrid w:linePitch="360"/>
        </w:sectPr>
      </w:pPr>
      <w:r>
        <w:rPr>
          <w:color w:val="000000"/>
          <w:spacing w:val="0"/>
          <w:w w:val="100"/>
          <w:position w:val="0"/>
          <w:sz w:val="24"/>
          <w:szCs w:val="24"/>
          <w:shd w:val="clear" w:color="auto" w:fill="auto"/>
          <w:lang w:val="ru-RU" w:eastAsia="ru-RU" w:bidi="ru-RU"/>
        </w:rPr>
        <w:t>В соответствии с частью 9 статьи 18 Закона о бухгалтерском учете заинтересованным лицам обеспечивается доступ к информации, содержащейся в государственном информационном ресурсе. Правительство Российской Федерации вправе определить случаи, в которых доступ к указанной информации может быть ограничен, а также порядок ограничения и возобновления такого доступа. В случаях, определенных Правительством Российской Федерации, ограничение или возобновление доступа к такой информации осуществляется федеральным органом исполнительной власти, уполномоченным по контролю и надзору в области налогов и сборов, по заявлению организации, доступ к информации, о которой ограничивается или возобновляется.</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Частью 2 статьи 18 Закона о бухгалтерском учете определено, что государственный информационный ресурс формируется и ведется федеральным органом исполнительной власти, уполномоченным по контролю и надзору в области налогов и сборов.</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При этом юридическая значимость бухгалтерской отчетности, полученной из государственного информационного ресурса и заверенной электронной подписью Федеральной налоговой службой, приравнивается к значимости документа на бумажном носителе.</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Следовательно, каждый факт хозяйственной деятельности, в том числе по результатам исполнения контрактов, подлежит отражению в годовой бухгалтерской отчетности, сведения о которой находятся в государственном информационном ресурсе.</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Таким образом, сумма исполненных контрактов за отчетный период не может превышать сумму, отраженную в годовой бухгалтерской отчетности за данный период.</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Вместе с тем, в составе заявки победителя закупки представлен договор на сумму (23 905 200,00 рублей), превышающую сумму, указанную Федеральной налоговой службой в государственном информационном ресурсе, в отношении суммарной выручки Победителя закупки за 2021-2023 годы (11 679 000,00 рублей).</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При этом, в адрес Архангельского УФАС России Победителем закупки не направлено пояснений в части расхождения между суммой выполненных работ по договорам и суммой выручки за 2021-2023 годы.</w:t>
      </w:r>
    </w:p>
    <w:p>
      <w:pPr>
        <w:pStyle w:val="Style5"/>
        <w:keepNext w:val="0"/>
        <w:keepLines w:val="0"/>
        <w:widowControl w:val="0"/>
        <w:shd w:val="clear" w:color="auto" w:fill="auto"/>
        <w:bidi w:val="0"/>
        <w:spacing w:before="0" w:after="0"/>
        <w:ind w:left="0" w:right="0" w:firstLine="540"/>
        <w:jc w:val="both"/>
      </w:pPr>
      <w:r>
        <w:rPr>
          <w:color w:val="000000"/>
          <w:spacing w:val="0"/>
          <w:w w:val="100"/>
          <w:position w:val="0"/>
          <w:sz w:val="24"/>
          <w:szCs w:val="24"/>
          <w:shd w:val="clear" w:color="auto" w:fill="auto"/>
          <w:lang w:val="ru-RU" w:eastAsia="ru-RU" w:bidi="ru-RU"/>
        </w:rPr>
        <w:t>Учитывая изложенное, данные, представленные в составе заявки не соответствуют данным Федеральной налоговой службой, что имеет признаки недостоверной информацией.</w:t>
      </w:r>
    </w:p>
    <w:p>
      <w:pPr>
        <w:pStyle w:val="Style5"/>
        <w:keepNext w:val="0"/>
        <w:keepLines w:val="0"/>
        <w:widowControl w:val="0"/>
        <w:shd w:val="clear" w:color="auto" w:fill="auto"/>
        <w:bidi w:val="0"/>
        <w:spacing w:before="0" w:after="280"/>
        <w:ind w:left="0" w:right="0" w:firstLine="720"/>
        <w:jc w:val="both"/>
      </w:pPr>
      <w:r>
        <w:rPr>
          <w:color w:val="000000"/>
          <w:spacing w:val="0"/>
          <w:w w:val="100"/>
          <w:position w:val="0"/>
          <w:sz w:val="24"/>
          <w:szCs w:val="24"/>
          <w:shd w:val="clear" w:color="auto" w:fill="auto"/>
          <w:lang w:val="ru-RU" w:eastAsia="ru-RU" w:bidi="ru-RU"/>
        </w:rPr>
        <w:t>С учетом позиции Верховного Суда Российской Федерации, отраженной в Определении от 17.06.2020 № 310-ЭС19-26526 недостоверной информацией следует считать информацию, не соответствующую действительности, предоставленной с обманом и умыслом, направленным на победу в торгах за счет представления ложной информации об опыте выполнения работ.</w:t>
      </w:r>
    </w:p>
    <w:p>
      <w:pPr>
        <w:pStyle w:val="Style5"/>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Комиссия Архангельского УФАС России, заслушав представителей Заявителя, Заказчика и Уполномоченного органа, изучив материалы дела, установила, что в данном случае, представленный победителем закупки договор от 27.02.2023 № 51, акт от 21.09.2023 №205 содержат признаки недостоверной информации, что ставит под сомнение факт подтверждения опыта выполнения работ, соответствия их требованиям Извещения.</w:t>
      </w:r>
    </w:p>
    <w:p>
      <w:pPr>
        <w:pStyle w:val="Style5"/>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Следовательно, победителем закупки не подтвержден опыт выполнения работ, в соответствии с Постановлением № 2604, договором от 27.02.2023 №51, заключенным с ООО «ПРИМСТРОЙМОНТАЖ».</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имеющихся в деле материалов усматривается, что победителем закупки представлена недостоверная информация в рассматриваемой части.</w:t>
      </w:r>
    </w:p>
    <w:p>
      <w:pPr>
        <w:pStyle w:val="Style5"/>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Согласно пункту 8 части 12 статьи 48 ФЗ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pPr>
        <w:pStyle w:val="Style5"/>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Представителем Уполномоченного органа в заседании Комиссии Архангельского УФАС России не представлено документов и сведений, однозначно свидетельствующих о правомерности действий конкурсной комиссии.</w:t>
      </w:r>
    </w:p>
    <w:p>
      <w:pPr>
        <w:pStyle w:val="Style5"/>
        <w:keepNext w:val="0"/>
        <w:keepLines w:val="0"/>
        <w:widowControl w:val="0"/>
        <w:shd w:val="clear" w:color="auto" w:fill="auto"/>
        <w:bidi w:val="0"/>
        <w:spacing w:before="0" w:after="140" w:line="252" w:lineRule="auto"/>
        <w:ind w:left="0" w:right="0" w:firstLine="720"/>
        <w:jc w:val="both"/>
        <w:sectPr>
          <w:headerReference w:type="default" r:id="rId13"/>
          <w:footnotePr>
            <w:pos w:val="pageBottom"/>
            <w:numFmt w:val="decimal"/>
            <w:numRestart w:val="continuous"/>
          </w:footnotePr>
          <w:pgSz w:w="11900" w:h="16840"/>
          <w:pgMar w:top="796" w:right="921" w:bottom="954" w:left="1345" w:header="0" w:footer="526" w:gutter="0"/>
          <w:cols w:space="720"/>
          <w:noEndnote/>
          <w:rtlGutter w:val="0"/>
          <w:docGrid w:linePitch="360"/>
        </w:sectPr>
      </w:pPr>
      <w:r>
        <w:rPr>
          <w:color w:val="000000"/>
          <w:spacing w:val="0"/>
          <w:w w:val="100"/>
          <w:position w:val="0"/>
          <w:sz w:val="24"/>
          <w:szCs w:val="24"/>
          <w:shd w:val="clear" w:color="auto" w:fill="auto"/>
          <w:lang w:val="ru-RU" w:eastAsia="ru-RU" w:bidi="ru-RU"/>
        </w:rPr>
        <w:t>На основании материалов дела, Комиссия Архангельского УФАС России приходит к выводу, что действия конкурсной комиссии в части принятия решения о признании заявки участника закупки с идентификационным № 117257266 (ООО «ВАБ») соответствующей требованиям Извещения, а также принятия указанного договора от 27.02.2023 № 51, в качестве подтверждения опыта, противоречат порядку оценки заявок и положениям ФЗ «О контрактной системе», в связи с тем, что в составе заявки содержится недостоверная информация.</w:t>
      </w:r>
    </w:p>
    <w:p>
      <w:pPr>
        <w:pStyle w:val="Style5"/>
        <w:keepNext w:val="0"/>
        <w:keepLines w:val="0"/>
        <w:widowControl w:val="0"/>
        <w:shd w:val="clear" w:color="auto" w:fill="auto"/>
        <w:bidi w:val="0"/>
        <w:spacing w:before="0" w:after="0"/>
        <w:ind w:left="0" w:right="0" w:firstLine="740"/>
        <w:jc w:val="both"/>
      </w:pPr>
      <w:r>
        <w:drawing>
          <wp:anchor distT="0" distB="0" distL="0" distR="0" simplePos="0" relativeHeight="62914700" behindDoc="1" locked="0" layoutInCell="1" allowOverlap="1">
            <wp:simplePos x="0" y="0"/>
            <wp:positionH relativeFrom="margin">
              <wp:posOffset>2738755</wp:posOffset>
            </wp:positionH>
            <wp:positionV relativeFrom="margin">
              <wp:posOffset>5132070</wp:posOffset>
            </wp:positionV>
            <wp:extent cx="2755265" cy="1572895"/>
            <wp:wrapNone/>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4"/>
                    <a:stretch/>
                  </pic:blipFill>
                  <pic:spPr>
                    <a:xfrm>
                      <a:ext cx="2755265" cy="1572895"/>
                    </a:xfrm>
                    <a:prstGeom prst="rect"/>
                  </pic:spPr>
                </pic:pic>
              </a:graphicData>
            </a:graphic>
          </wp:anchor>
        </w:drawing>
      </w:r>
      <w:r>
        <w:rPr>
          <w:color w:val="000000"/>
          <w:spacing w:val="0"/>
          <w:w w:val="100"/>
          <w:position w:val="0"/>
          <w:sz w:val="24"/>
          <w:szCs w:val="24"/>
          <w:shd w:val="clear" w:color="auto" w:fill="auto"/>
          <w:lang w:val="ru-RU" w:eastAsia="ru-RU" w:bidi="ru-RU"/>
        </w:rPr>
        <w:t>Кроме того, ООО «ВАБ» в заседание Комиссии Архангельского УФАС России не представлено доказательств, однозначно свидетельствующих об отсутствии в составе заявки недостоверной информации.</w:t>
      </w:r>
    </w:p>
    <w:p>
      <w:pPr>
        <w:pStyle w:val="Style5"/>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Следовательно, конкурсная комиссия неправомерно признала заявку с идентификационным № 117257266 (ООО «ВАБ») соответствующей требованиям Извещения.</w:t>
      </w:r>
    </w:p>
    <w:p>
      <w:pPr>
        <w:pStyle w:val="Style5"/>
        <w:keepNext w:val="0"/>
        <w:keepLines w:val="0"/>
        <w:widowControl w:val="0"/>
        <w:shd w:val="clear" w:color="auto" w:fill="auto"/>
        <w:bidi w:val="0"/>
        <w:spacing w:before="0" w:after="0" w:line="276" w:lineRule="auto"/>
        <w:ind w:left="0" w:right="0" w:firstLine="740"/>
        <w:jc w:val="both"/>
        <w:rPr>
          <w:sz w:val="22"/>
          <w:szCs w:val="22"/>
        </w:rPr>
      </w:pPr>
      <w:r>
        <w:rPr>
          <w:b/>
          <w:bCs/>
          <w:color w:val="000000"/>
          <w:spacing w:val="0"/>
          <w:w w:val="100"/>
          <w:position w:val="0"/>
          <w:sz w:val="22"/>
          <w:szCs w:val="22"/>
          <w:shd w:val="clear" w:color="auto" w:fill="auto"/>
          <w:lang w:val="ru-RU" w:eastAsia="ru-RU" w:bidi="ru-RU"/>
        </w:rPr>
        <w:t>Таким образом, конкурсная комиссия нарушила пункт 8 части 12 статьи 48 ФЗ «О контрактной системе».</w:t>
      </w:r>
    </w:p>
    <w:p>
      <w:pPr>
        <w:pStyle w:val="Style5"/>
        <w:keepNext w:val="0"/>
        <w:keepLines w:val="0"/>
        <w:widowControl w:val="0"/>
        <w:shd w:val="clear" w:color="auto" w:fill="auto"/>
        <w:bidi w:val="0"/>
        <w:spacing w:before="0" w:after="180"/>
        <w:ind w:left="0" w:right="0" w:firstLine="740"/>
        <w:jc w:val="both"/>
      </w:pPr>
      <w:r>
        <w:rPr>
          <w:color w:val="000000"/>
          <w:spacing w:val="0"/>
          <w:w w:val="100"/>
          <w:position w:val="0"/>
          <w:sz w:val="24"/>
          <w:szCs w:val="24"/>
          <w:shd w:val="clear" w:color="auto" w:fill="auto"/>
          <w:lang w:val="ru-RU" w:eastAsia="ru-RU" w:bidi="ru-RU"/>
        </w:rPr>
        <w:t>В указанных действиях конкурсной комиссии содержатся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pPr>
        <w:pStyle w:val="Style5"/>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При проведении внеплановой проверки на основании пункта 1 части 15 статьи 99 ФЗ «О контрактной системе» данной закупки иных нарушений законодательства РФ о контрактной системе не выявлено.</w:t>
      </w:r>
    </w:p>
    <w:p>
      <w:pPr>
        <w:pStyle w:val="Style5"/>
        <w:keepNext w:val="0"/>
        <w:keepLines w:val="0"/>
        <w:widowControl w:val="0"/>
        <w:shd w:val="clear" w:color="auto" w:fill="auto"/>
        <w:bidi w:val="0"/>
        <w:spacing w:before="0" w:after="300"/>
        <w:ind w:left="0" w:right="0" w:firstLine="740"/>
        <w:jc w:val="both"/>
      </w:pPr>
      <w:r>
        <w:rPr>
          <w:color w:val="000000"/>
          <w:spacing w:val="0"/>
          <w:w w:val="100"/>
          <w:position w:val="0"/>
          <w:sz w:val="24"/>
          <w:szCs w:val="24"/>
          <w:shd w:val="clear" w:color="auto" w:fill="auto"/>
          <w:lang w:val="ru-RU" w:eastAsia="ru-RU" w:bidi="ru-RU"/>
        </w:rPr>
        <w:t>Руководствуясь пунктом 1 части 15, пунктом 2 части 22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15"/>
        <w:keepNext/>
        <w:keepLines/>
        <w:widowControl w:val="0"/>
        <w:shd w:val="clear" w:color="auto" w:fill="auto"/>
        <w:bidi w:val="0"/>
        <w:spacing w:before="0" w:after="100" w:line="240" w:lineRule="auto"/>
        <w:ind w:left="0" w:right="0" w:firstLine="0"/>
        <w:jc w:val="center"/>
      </w:pPr>
      <w:bookmarkStart w:id="10" w:name="bookmark10"/>
      <w:r>
        <w:rPr>
          <w:color w:val="000000"/>
          <w:spacing w:val="0"/>
          <w:w w:val="100"/>
          <w:position w:val="0"/>
          <w:shd w:val="clear" w:color="auto" w:fill="auto"/>
          <w:lang w:val="ru-RU" w:eastAsia="ru-RU" w:bidi="ru-RU"/>
        </w:rPr>
        <w:t>РЕШИЛА:</w:t>
      </w:r>
      <w:bookmarkEnd w:id="10"/>
    </w:p>
    <w:p>
      <w:pPr>
        <w:pStyle w:val="Style5"/>
        <w:keepNext w:val="0"/>
        <w:keepLines w:val="0"/>
        <w:widowControl w:val="0"/>
        <w:numPr>
          <w:ilvl w:val="0"/>
          <w:numId w:val="9"/>
        </w:numPr>
        <w:shd w:val="clear" w:color="auto" w:fill="auto"/>
        <w:tabs>
          <w:tab w:pos="1020"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Признать жалобу ООО «ГАРАНТ» обоснованной.</w:t>
      </w:r>
    </w:p>
    <w:p>
      <w:pPr>
        <w:pStyle w:val="Style5"/>
        <w:keepNext w:val="0"/>
        <w:keepLines w:val="0"/>
        <w:widowControl w:val="0"/>
        <w:numPr>
          <w:ilvl w:val="0"/>
          <w:numId w:val="9"/>
        </w:numPr>
        <w:shd w:val="clear" w:color="auto" w:fill="auto"/>
        <w:tabs>
          <w:tab w:pos="1139"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Признать конкурсную комиссию, созданную Уполномоченным органом - Контрактным агентством Архангельской области, нарушившей пункт 8 части 12 статьи 48 ФЗ «О контрактной системе».</w:t>
      </w:r>
    </w:p>
    <w:p>
      <w:pPr>
        <w:pStyle w:val="Style5"/>
        <w:keepNext w:val="0"/>
        <w:keepLines w:val="0"/>
        <w:widowControl w:val="0"/>
        <w:numPr>
          <w:ilvl w:val="0"/>
          <w:numId w:val="9"/>
        </w:numPr>
        <w:shd w:val="clear" w:color="auto" w:fill="auto"/>
        <w:tabs>
          <w:tab w:pos="1139" w:val="left"/>
        </w:tabs>
        <w:bidi w:val="0"/>
        <w:spacing w:before="0" w:after="100"/>
        <w:ind w:left="0" w:right="0" w:firstLine="740"/>
        <w:jc w:val="both"/>
      </w:pPr>
      <w:r>
        <w:rPr>
          <w:color w:val="000000"/>
          <w:spacing w:val="0"/>
          <w:w w:val="100"/>
          <w:position w:val="0"/>
          <w:sz w:val="24"/>
          <w:szCs w:val="24"/>
          <w:shd w:val="clear" w:color="auto" w:fill="auto"/>
          <w:lang w:val="ru-RU" w:eastAsia="ru-RU" w:bidi="ru-RU"/>
        </w:rPr>
        <w:t>Заказчику, Уполномоченному органу, конкурсной комиссии, оператору электронной площадки - ООО «РТС-тендер», выдать предписание об устранении выявленных нарушений ФЗ «О контрактной системе».</w:t>
      </w:r>
    </w:p>
    <w:p>
      <w:pPr>
        <w:pStyle w:val="Style2"/>
        <w:keepNext w:val="0"/>
        <w:keepLines w:val="0"/>
        <w:widowControl w:val="0"/>
        <w:shd w:val="clear" w:color="auto" w:fill="auto"/>
        <w:tabs>
          <w:tab w:pos="5922" w:val="left"/>
          <w:tab w:pos="7837" w:val="left"/>
        </w:tabs>
        <w:bidi w:val="0"/>
        <w:spacing w:before="0" w:after="540" w:line="254" w:lineRule="auto"/>
        <w:ind w:left="0" w:right="0" w:firstLine="0"/>
        <w:jc w:val="both"/>
      </w:pPr>
      <w:r>
        <w:rPr>
          <w:i/>
          <w:iCs/>
          <w:color w:val="000000"/>
          <w:spacing w:val="0"/>
          <w:w w:val="100"/>
          <w:position w:val="0"/>
          <w:u w:val="single"/>
          <w:shd w:val="clear" w:color="auto" w:fill="auto"/>
          <w:lang w:val="ru-RU" w:eastAsia="ru-RU" w:bidi="ru-RU"/>
        </w:rPr>
        <w:t>Примечание.</w:t>
      </w:r>
      <w:r>
        <w:rPr>
          <w:i/>
          <w:iCs/>
          <w:color w:val="000000"/>
          <w:spacing w:val="0"/>
          <w:w w:val="100"/>
          <w:position w:val="0"/>
          <w:shd w:val="clear" w:color="auto" w:fill="auto"/>
          <w:lang w:val="ru-RU" w:eastAsia="ru-RU" w:bidi="ru-RU"/>
        </w:rPr>
        <w:t xml:space="preserve"> 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tab/>
      </w:r>
      <w:r>
        <w:rPr>
          <w:i/>
          <w:iCs/>
          <w:color w:val="A4A4BD"/>
          <w:spacing w:val="0"/>
          <w:w w:val="100"/>
          <w:position w:val="0"/>
          <w:shd w:val="clear" w:color="auto" w:fill="auto"/>
          <w:lang w:val="ru-RU" w:eastAsia="ru-RU" w:bidi="ru-RU"/>
        </w:rPr>
        <w:t>/ 3</w:t>
        <w:tab/>
      </w:r>
      <w:r>
        <w:rPr>
          <w:i/>
          <w:iCs/>
          <w:color w:val="5F549B"/>
          <w:spacing w:val="0"/>
          <w:w w:val="100"/>
          <w:position w:val="0"/>
          <w:shd w:val="clear" w:color="auto" w:fill="auto"/>
          <w:lang w:val="ru-RU" w:eastAsia="ru-RU" w:bidi="ru-RU"/>
        </w:rPr>
        <w:t>/■</w:t>
      </w:r>
    </w:p>
    <w:p>
      <w:pPr>
        <w:pStyle w:val="Style2"/>
        <w:keepNext w:val="0"/>
        <w:keepLines w:val="0"/>
        <w:widowControl w:val="0"/>
        <w:shd w:val="clear" w:color="auto" w:fill="auto"/>
        <w:bidi w:val="0"/>
        <w:spacing w:before="0" w:after="300" w:line="240" w:lineRule="auto"/>
        <w:ind w:left="0" w:right="0" w:firstLine="0"/>
        <w:jc w:val="both"/>
        <w:rPr>
          <w:sz w:val="22"/>
          <w:szCs w:val="22"/>
        </w:rPr>
      </w:pPr>
      <w:r>
        <w:rPr>
          <w:b/>
          <w:bCs/>
          <w:color w:val="000000"/>
          <w:spacing w:val="0"/>
          <w:w w:val="100"/>
          <w:position w:val="0"/>
          <w:sz w:val="22"/>
          <w:szCs w:val="22"/>
          <w:shd w:val="clear" w:color="auto" w:fill="auto"/>
          <w:lang w:val="ru-RU" w:eastAsia="ru-RU" w:bidi="ru-RU"/>
        </w:rPr>
        <w:t>Председатель Комиссии</w:t>
      </w:r>
    </w:p>
    <w:p>
      <w:pPr>
        <w:pStyle w:val="Style2"/>
        <w:keepNext w:val="0"/>
        <w:keepLines w:val="0"/>
        <w:widowControl w:val="0"/>
        <w:shd w:val="clear" w:color="auto" w:fill="auto"/>
        <w:bidi w:val="0"/>
        <w:spacing w:before="0" w:after="300" w:line="240" w:lineRule="auto"/>
        <w:ind w:left="0" w:right="0" w:firstLine="0"/>
        <w:jc w:val="right"/>
        <w:rPr>
          <w:sz w:val="22"/>
          <w:szCs w:val="22"/>
        </w:rPr>
      </w:pPr>
      <w:r>
        <mc:AlternateContent>
          <mc:Choice Requires="wps">
            <w:drawing>
              <wp:anchor distT="0" distB="0" distL="114300" distR="114300" simplePos="0" relativeHeight="125829378" behindDoc="0" locked="0" layoutInCell="1" allowOverlap="1">
                <wp:simplePos x="0" y="0"/>
                <wp:positionH relativeFrom="page">
                  <wp:posOffset>5789930</wp:posOffset>
                </wp:positionH>
                <wp:positionV relativeFrom="margin">
                  <wp:posOffset>5882640</wp:posOffset>
                </wp:positionV>
                <wp:extent cx="1158875" cy="173990"/>
                <wp:wrapSquare wrapText="left"/>
                <wp:docPr id="19" name="Shape 19"/>
                <a:graphic xmlns:a="http://schemas.openxmlformats.org/drawingml/2006/main">
                  <a:graphicData uri="http://schemas.microsoft.com/office/word/2010/wordprocessingShape">
                    <wps:wsp>
                      <wps:cNvSpPr txBox="1"/>
                      <wps:spPr>
                        <a:xfrm>
                          <a:ext cx="1158875"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О.С. Малышева</w:t>
                            </w:r>
                          </w:p>
                        </w:txbxContent>
                      </wps:txbx>
                      <wps:bodyPr wrap="none" lIns="0" tIns="0" rIns="0" bIns="0">
                        <a:noAutoFit/>
                      </wps:bodyPr>
                    </wps:wsp>
                  </a:graphicData>
                </a:graphic>
              </wp:anchor>
            </w:drawing>
          </mc:Choice>
          <mc:Fallback>
            <w:pict>
              <v:shape id="_x0000_s1045" type="#_x0000_t202" style="position:absolute;margin-left:455.90000000000003pt;margin-top:463.19999999999999pt;width:91.25pt;height:13.700000000000001pt;z-index:-125829375;mso-wrap-distance-left:9.pt;mso-wrap-distance-right:9.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О.С. Малышева</w:t>
                      </w:r>
                    </w:p>
                  </w:txbxContent>
                </v:textbox>
                <w10:wrap type="square" side="left" anchorx="page" anchory="margin"/>
              </v:shape>
            </w:pict>
          </mc:Fallback>
        </mc:AlternateContent>
      </w:r>
      <w:r>
        <mc:AlternateContent>
          <mc:Choice Requires="wps">
            <w:drawing>
              <wp:anchor distT="0" distB="0" distL="114300" distR="114300" simplePos="0" relativeHeight="125829380" behindDoc="0" locked="0" layoutInCell="1" allowOverlap="1">
                <wp:simplePos x="0" y="0"/>
                <wp:positionH relativeFrom="page">
                  <wp:posOffset>861060</wp:posOffset>
                </wp:positionH>
                <wp:positionV relativeFrom="margin">
                  <wp:posOffset>6234430</wp:posOffset>
                </wp:positionV>
                <wp:extent cx="1227455" cy="173990"/>
                <wp:wrapSquare wrapText="right"/>
                <wp:docPr id="21" name="Shape 21"/>
                <a:graphic xmlns:a="http://schemas.openxmlformats.org/drawingml/2006/main">
                  <a:graphicData uri="http://schemas.microsoft.com/office/word/2010/wordprocessingShape">
                    <wps:wsp>
                      <wps:cNvSpPr txBox="1"/>
                      <wps:spPr>
                        <a:xfrm>
                          <a:ext cx="1227455"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7" type="#_x0000_t202" style="position:absolute;margin-left:67.799999999999997pt;margin-top:490.90000000000003pt;width:96.650000000000006pt;height:13.700000000000001pt;z-index:-125829373;mso-wrap-distance-left:9.pt;mso-wrap-distance-right:9.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Члены Комиссии</w:t>
                      </w:r>
                    </w:p>
                  </w:txbxContent>
                </v:textbox>
                <w10:wrap type="square" side="right" anchorx="page" anchory="margin"/>
              </v:shape>
            </w:pict>
          </mc:Fallback>
        </mc:AlternateContent>
      </w:r>
      <w:r>
        <w:rPr>
          <w:b/>
          <w:bCs/>
          <w:color w:val="000000"/>
          <w:spacing w:val="0"/>
          <w:w w:val="100"/>
          <w:position w:val="0"/>
          <w:sz w:val="22"/>
          <w:szCs w:val="22"/>
          <w:shd w:val="clear" w:color="auto" w:fill="auto"/>
          <w:lang w:val="ru-RU" w:eastAsia="ru-RU" w:bidi="ru-RU"/>
        </w:rPr>
        <w:t>Н.В. Вознесенская</w:t>
      </w:r>
    </w:p>
    <w:p>
      <w:pPr>
        <w:pStyle w:val="Style2"/>
        <w:keepNext w:val="0"/>
        <w:keepLines w:val="0"/>
        <w:widowControl w:val="0"/>
        <w:shd w:val="clear" w:color="auto" w:fill="auto"/>
        <w:bidi w:val="0"/>
        <w:spacing w:before="0" w:after="140" w:line="240" w:lineRule="auto"/>
        <w:ind w:left="7880" w:right="0" w:firstLine="0"/>
        <w:jc w:val="both"/>
        <w:rPr>
          <w:sz w:val="22"/>
          <w:szCs w:val="22"/>
        </w:rPr>
      </w:pPr>
      <w:r>
        <w:rPr>
          <w:b/>
          <w:bCs/>
          <w:color w:val="000000"/>
          <w:spacing w:val="0"/>
          <w:w w:val="100"/>
          <w:position w:val="0"/>
          <w:sz w:val="22"/>
          <w:szCs w:val="22"/>
          <w:shd w:val="clear" w:color="auto" w:fill="auto"/>
          <w:lang w:val="ru-RU" w:eastAsia="ru-RU" w:bidi="ru-RU"/>
        </w:rPr>
        <w:t>тА. Елисеенков</w:t>
      </w:r>
    </w:p>
    <w:sectPr>
      <w:headerReference w:type="default" r:id="rId16"/>
      <w:footnotePr>
        <w:pos w:val="pageBottom"/>
        <w:numFmt w:val="decimal"/>
        <w:numRestart w:val="continuous"/>
      </w:footnotePr>
      <w:pgSz w:w="11900" w:h="16840"/>
      <w:pgMar w:top="796" w:right="921" w:bottom="954" w:left="1345" w:header="0" w:footer="526" w:gutter="0"/>
      <w:pgNumType w:start="559"/>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6701155</wp:posOffset>
              </wp:positionH>
              <wp:positionV relativeFrom="page">
                <wp:posOffset>281305</wp:posOffset>
              </wp:positionV>
              <wp:extent cx="221615" cy="109855"/>
              <wp:wrapNone/>
              <wp:docPr id="2" name="Shape 2"/>
              <a:graphic xmlns:a="http://schemas.openxmlformats.org/drawingml/2006/main">
                <a:graphicData uri="http://schemas.microsoft.com/office/word/2010/wordprocessingShape">
                  <wps:wsp>
                    <wps:cNvSpPr txBox="1"/>
                    <wps:spPr>
                      <a:xfrm>
                        <a:ext cx="221615" cy="10985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color w:val="000000"/>
                                <w:spacing w:val="0"/>
                                <w:w w:val="100"/>
                                <w:position w:val="0"/>
                                <w:sz w:val="18"/>
                                <w:szCs w:val="18"/>
                                <w:shd w:val="clear" w:color="auto" w:fill="auto"/>
                                <w:lang w:val="ru-RU" w:eastAsia="ru-RU" w:bidi="ru-RU"/>
                              </w:rPr>
                              <w:t>#</w:t>
                            </w:r>
                          </w:fldSimple>
                          <w:r>
                            <w:rPr>
                              <w:color w:val="000000"/>
                              <w:spacing w:val="0"/>
                              <w:w w:val="100"/>
                              <w:position w:val="0"/>
                              <w:sz w:val="18"/>
                              <w:szCs w:val="18"/>
                              <w:shd w:val="clear" w:color="auto" w:fill="auto"/>
                              <w:lang w:val="ru-RU" w:eastAsia="ru-RU" w:bidi="ru-RU"/>
                            </w:rPr>
                            <w:t>/9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27.64999999999998pt;margin-top:22.150000000000002pt;width:17.449999999999999pt;height:8.6500000000000004pt;z-index:-188744063;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color w:val="000000"/>
                          <w:spacing w:val="0"/>
                          <w:w w:val="100"/>
                          <w:position w:val="0"/>
                          <w:sz w:val="18"/>
                          <w:szCs w:val="18"/>
                          <w:shd w:val="clear" w:color="auto" w:fill="auto"/>
                          <w:lang w:val="ru-RU" w:eastAsia="ru-RU" w:bidi="ru-RU"/>
                        </w:rPr>
                        <w:t>#</w:t>
                      </w:r>
                    </w:fldSimple>
                    <w:r>
                      <w:rPr>
                        <w:color w:val="000000"/>
                        <w:spacing w:val="0"/>
                        <w:w w:val="100"/>
                        <w:position w:val="0"/>
                        <w:sz w:val="18"/>
                        <w:szCs w:val="18"/>
                        <w:shd w:val="clear" w:color="auto" w:fill="auto"/>
                        <w:lang w:val="ru-RU" w:eastAsia="ru-RU" w:bidi="ru-RU"/>
                      </w:rPr>
                      <w:t>/9</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864870</wp:posOffset>
              </wp:positionH>
              <wp:positionV relativeFrom="page">
                <wp:posOffset>422910</wp:posOffset>
              </wp:positionV>
              <wp:extent cx="6078220" cy="0"/>
              <wp:wrapNone/>
              <wp:docPr id="4" name="Shape 4"/>
              <a:graphic xmlns:a="http://schemas.openxmlformats.org/drawingml/2006/main">
                <a:graphicData uri="http://schemas.microsoft.com/office/word/2010/wordprocessingShape">
                  <wps:wsp>
                    <wps:cNvCnPr/>
                    <wps:spPr>
                      <a:xfrm>
                        <a:ext cx="6078220" cy="0"/>
                      </a:xfrm>
                      <a:prstGeom prst="straightConnector1"/>
                      <a:ln w="12700">
                        <a:solidFill/>
                      </a:ln>
                    </wps:spPr>
                    <wps:bodyPr/>
                  </wps:wsp>
                </a:graphicData>
              </a:graphic>
            </wp:anchor>
          </w:drawing>
        </mc:Choice>
        <mc:Fallback>
          <w:pict>
            <v:shape o:spt="32" o:oned="true" path="m,l21600,21600e" style="position:absolute;margin-left:68.099999999999994pt;margin-top:33.299999999999997pt;width:478.60000000000002pt;height:0;z-index:-251658240;mso-position-horizontal-relative:page;mso-position-vertical-relative:page">
              <v:stroke weight="1.pt"/>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6701155</wp:posOffset>
              </wp:positionH>
              <wp:positionV relativeFrom="page">
                <wp:posOffset>281305</wp:posOffset>
              </wp:positionV>
              <wp:extent cx="221615" cy="109855"/>
              <wp:wrapNone/>
              <wp:docPr id="5" name="Shape 5"/>
              <a:graphic xmlns:a="http://schemas.openxmlformats.org/drawingml/2006/main">
                <a:graphicData uri="http://schemas.microsoft.com/office/word/2010/wordprocessingShape">
                  <wps:wsp>
                    <wps:cNvSpPr txBox="1"/>
                    <wps:spPr>
                      <a:xfrm>
                        <a:ext cx="221615" cy="10985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color w:val="000000"/>
                                <w:spacing w:val="0"/>
                                <w:w w:val="100"/>
                                <w:position w:val="0"/>
                                <w:sz w:val="18"/>
                                <w:szCs w:val="18"/>
                                <w:shd w:val="clear" w:color="auto" w:fill="auto"/>
                                <w:lang w:val="ru-RU" w:eastAsia="ru-RU" w:bidi="ru-RU"/>
                              </w:rPr>
                              <w:t>#</w:t>
                            </w:r>
                          </w:fldSimple>
                          <w:r>
                            <w:rPr>
                              <w:color w:val="000000"/>
                              <w:spacing w:val="0"/>
                              <w:w w:val="100"/>
                              <w:position w:val="0"/>
                              <w:sz w:val="18"/>
                              <w:szCs w:val="18"/>
                              <w:shd w:val="clear" w:color="auto" w:fill="auto"/>
                              <w:lang w:val="ru-RU" w:eastAsia="ru-RU" w:bidi="ru-RU"/>
                            </w:rPr>
                            <w:t>/9</w:t>
                          </w:r>
                        </w:p>
                      </w:txbxContent>
                    </wps:txbx>
                    <wps:bodyPr wrap="none" lIns="0" tIns="0" rIns="0" bIns="0">
                      <a:spAutoFit/>
                    </wps:bodyPr>
                  </wps:wsp>
                </a:graphicData>
              </a:graphic>
            </wp:anchor>
          </w:drawing>
        </mc:Choice>
        <mc:Fallback>
          <w:pict>
            <v:shape id="_x0000_s1031" type="#_x0000_t202" style="position:absolute;margin-left:527.64999999999998pt;margin-top:22.150000000000002pt;width:17.449999999999999pt;height:8.6500000000000004pt;z-index:-188744061;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color w:val="000000"/>
                          <w:spacing w:val="0"/>
                          <w:w w:val="100"/>
                          <w:position w:val="0"/>
                          <w:sz w:val="18"/>
                          <w:szCs w:val="18"/>
                          <w:shd w:val="clear" w:color="auto" w:fill="auto"/>
                          <w:lang w:val="ru-RU" w:eastAsia="ru-RU" w:bidi="ru-RU"/>
                        </w:rPr>
                        <w:t>#</w:t>
                      </w:r>
                    </w:fldSimple>
                    <w:r>
                      <w:rPr>
                        <w:color w:val="000000"/>
                        <w:spacing w:val="0"/>
                        <w:w w:val="100"/>
                        <w:position w:val="0"/>
                        <w:sz w:val="18"/>
                        <w:szCs w:val="18"/>
                        <w:shd w:val="clear" w:color="auto" w:fill="auto"/>
                        <w:lang w:val="ru-RU" w:eastAsia="ru-RU" w:bidi="ru-RU"/>
                      </w:rPr>
                      <w:t>/9</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864870</wp:posOffset>
              </wp:positionH>
              <wp:positionV relativeFrom="page">
                <wp:posOffset>422910</wp:posOffset>
              </wp:positionV>
              <wp:extent cx="6078220" cy="0"/>
              <wp:wrapNone/>
              <wp:docPr id="7" name="Shape 7"/>
              <a:graphic xmlns:a="http://schemas.openxmlformats.org/drawingml/2006/main">
                <a:graphicData uri="http://schemas.microsoft.com/office/word/2010/wordprocessingShape">
                  <wps:wsp>
                    <wps:cNvCnPr/>
                    <wps:spPr>
                      <a:xfrm>
                        <a:ext cx="6078220" cy="0"/>
                      </a:xfrm>
                      <a:prstGeom prst="straightConnector1"/>
                      <a:ln w="12700">
                        <a:solidFill/>
                      </a:ln>
                    </wps:spPr>
                    <wps:bodyPr/>
                  </wps:wsp>
                </a:graphicData>
              </a:graphic>
            </wp:anchor>
          </w:drawing>
        </mc:Choice>
        <mc:Fallback>
          <w:pict>
            <v:shape o:spt="32" o:oned="true" path="m,l21600,21600e" style="position:absolute;margin-left:68.099999999999994pt;margin-top:33.299999999999997pt;width:478.60000000000002pt;height:0;z-index:-251658240;mso-position-horizontal-relative:page;mso-position-vertical-relative:page">
              <v:stroke weight="1.pt"/>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6699885</wp:posOffset>
              </wp:positionH>
              <wp:positionV relativeFrom="page">
                <wp:posOffset>283845</wp:posOffset>
              </wp:positionV>
              <wp:extent cx="221615" cy="107315"/>
              <wp:wrapNone/>
              <wp:docPr id="8" name="Shape 8"/>
              <a:graphic xmlns:a="http://schemas.openxmlformats.org/drawingml/2006/main">
                <a:graphicData uri="http://schemas.microsoft.com/office/word/2010/wordprocessingShape">
                  <wps:wsp>
                    <wps:cNvSpPr txBox="1"/>
                    <wps:spPr>
                      <a:xfrm>
                        <a:ext cx="221615" cy="10731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color w:val="000000"/>
                                <w:spacing w:val="0"/>
                                <w:w w:val="100"/>
                                <w:position w:val="0"/>
                                <w:sz w:val="18"/>
                                <w:szCs w:val="18"/>
                                <w:shd w:val="clear" w:color="auto" w:fill="auto"/>
                                <w:lang w:val="ru-RU" w:eastAsia="ru-RU" w:bidi="ru-RU"/>
                              </w:rPr>
                              <w:t>#</w:t>
                            </w:r>
                          </w:fldSimple>
                          <w:r>
                            <w:rPr>
                              <w:color w:val="000000"/>
                              <w:spacing w:val="0"/>
                              <w:w w:val="100"/>
                              <w:position w:val="0"/>
                              <w:sz w:val="18"/>
                              <w:szCs w:val="18"/>
                              <w:shd w:val="clear" w:color="auto" w:fill="auto"/>
                              <w:lang w:val="ru-RU" w:eastAsia="ru-RU" w:bidi="ru-RU"/>
                            </w:rPr>
                            <w:t>/9</w:t>
                          </w:r>
                        </w:p>
                      </w:txbxContent>
                    </wps:txbx>
                    <wps:bodyPr wrap="none" lIns="0" tIns="0" rIns="0" bIns="0">
                      <a:spAutoFit/>
                    </wps:bodyPr>
                  </wps:wsp>
                </a:graphicData>
              </a:graphic>
            </wp:anchor>
          </w:drawing>
        </mc:Choice>
        <mc:Fallback>
          <w:pict>
            <v:shape id="_x0000_s1034" type="#_x0000_t202" style="position:absolute;margin-left:527.54999999999995pt;margin-top:22.350000000000001pt;width:17.449999999999999pt;height:8.4499999999999993pt;z-index:-188744059;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color w:val="000000"/>
                          <w:spacing w:val="0"/>
                          <w:w w:val="100"/>
                          <w:position w:val="0"/>
                          <w:sz w:val="18"/>
                          <w:szCs w:val="18"/>
                          <w:shd w:val="clear" w:color="auto" w:fill="auto"/>
                          <w:lang w:val="ru-RU" w:eastAsia="ru-RU" w:bidi="ru-RU"/>
                        </w:rPr>
                        <w:t>#</w:t>
                      </w:r>
                    </w:fldSimple>
                    <w:r>
                      <w:rPr>
                        <w:color w:val="000000"/>
                        <w:spacing w:val="0"/>
                        <w:w w:val="100"/>
                        <w:position w:val="0"/>
                        <w:sz w:val="18"/>
                        <w:szCs w:val="18"/>
                        <w:shd w:val="clear" w:color="auto" w:fill="auto"/>
                        <w:lang w:val="ru-RU" w:eastAsia="ru-RU" w:bidi="ru-RU"/>
                      </w:rPr>
                      <w:t>/9</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870585</wp:posOffset>
              </wp:positionH>
              <wp:positionV relativeFrom="page">
                <wp:posOffset>421640</wp:posOffset>
              </wp:positionV>
              <wp:extent cx="6073775" cy="0"/>
              <wp:wrapNone/>
              <wp:docPr id="10" name="Shape 10"/>
              <a:graphic xmlns:a="http://schemas.openxmlformats.org/drawingml/2006/main">
                <a:graphicData uri="http://schemas.microsoft.com/office/word/2010/wordprocessingShape">
                  <wps:wsp>
                    <wps:cNvCnPr/>
                    <wps:spPr>
                      <a:xfrm>
                        <a:ext cx="6073775" cy="0"/>
                      </a:xfrm>
                      <a:prstGeom prst="straightConnector1"/>
                      <a:ln w="12700">
                        <a:solidFill/>
                      </a:ln>
                    </wps:spPr>
                    <wps:bodyPr/>
                  </wps:wsp>
                </a:graphicData>
              </a:graphic>
            </wp:anchor>
          </w:drawing>
        </mc:Choice>
        <mc:Fallback>
          <w:pict>
            <v:shape o:spt="32" o:oned="true" path="m,l21600,21600e" style="position:absolute;margin-left:68.549999999999997pt;margin-top:33.200000000000003pt;width:478.25pt;height:0;z-index:-251658240;mso-position-horizontal-relative:page;mso-position-vertical-relative:page">
              <v:stroke weight="1.pt"/>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6701790</wp:posOffset>
              </wp:positionH>
              <wp:positionV relativeFrom="page">
                <wp:posOffset>281305</wp:posOffset>
              </wp:positionV>
              <wp:extent cx="221615" cy="109855"/>
              <wp:wrapNone/>
              <wp:docPr id="11" name="Shape 11"/>
              <a:graphic xmlns:a="http://schemas.openxmlformats.org/drawingml/2006/main">
                <a:graphicData uri="http://schemas.microsoft.com/office/word/2010/wordprocessingShape">
                  <wps:wsp>
                    <wps:cNvSpPr txBox="1"/>
                    <wps:spPr>
                      <a:xfrm>
                        <a:ext cx="221615" cy="10985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^6/9</w:t>
                          </w:r>
                        </w:p>
                      </w:txbxContent>
                    </wps:txbx>
                    <wps:bodyPr wrap="none" lIns="0" tIns="0" rIns="0" bIns="0">
                      <a:spAutoFit/>
                    </wps:bodyPr>
                  </wps:wsp>
                </a:graphicData>
              </a:graphic>
            </wp:anchor>
          </w:drawing>
        </mc:Choice>
        <mc:Fallback>
          <w:pict>
            <v:shape id="_x0000_s1037" type="#_x0000_t202" style="position:absolute;margin-left:527.70000000000005pt;margin-top:22.150000000000002pt;width:17.449999999999999pt;height:8.6500000000000004pt;z-index:-188744057;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^6/9</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870585</wp:posOffset>
              </wp:positionH>
              <wp:positionV relativeFrom="page">
                <wp:posOffset>421640</wp:posOffset>
              </wp:positionV>
              <wp:extent cx="6073775" cy="0"/>
              <wp:wrapNone/>
              <wp:docPr id="13" name="Shape 13"/>
              <a:graphic xmlns:a="http://schemas.openxmlformats.org/drawingml/2006/main">
                <a:graphicData uri="http://schemas.microsoft.com/office/word/2010/wordprocessingShape">
                  <wps:wsp>
                    <wps:cNvCnPr/>
                    <wps:spPr>
                      <a:xfrm>
                        <a:ext cx="6073775" cy="0"/>
                      </a:xfrm>
                      <a:prstGeom prst="straightConnector1"/>
                      <a:ln w="12700">
                        <a:solidFill/>
                      </a:ln>
                    </wps:spPr>
                    <wps:bodyPr/>
                  </wps:wsp>
                </a:graphicData>
              </a:graphic>
            </wp:anchor>
          </w:drawing>
        </mc:Choice>
        <mc:Fallback>
          <w:pict>
            <v:shape o:spt="32" o:oned="true" path="m,l21600,21600e" style="position:absolute;margin-left:68.549999999999997pt;margin-top:33.200000000000003pt;width:478.25pt;height:0;z-index:-251658240;mso-position-horizontal-relative:page;mso-position-vertical-relative:page">
              <v:stroke weight="1.pt"/>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6700520</wp:posOffset>
              </wp:positionH>
              <wp:positionV relativeFrom="page">
                <wp:posOffset>347345</wp:posOffset>
              </wp:positionV>
              <wp:extent cx="221615" cy="111760"/>
              <wp:wrapNone/>
              <wp:docPr id="14" name="Shape 14"/>
              <a:graphic xmlns:a="http://schemas.openxmlformats.org/drawingml/2006/main">
                <a:graphicData uri="http://schemas.microsoft.com/office/word/2010/wordprocessingShape">
                  <wps:wsp>
                    <wps:cNvSpPr txBox="1"/>
                    <wps:spPr>
                      <a:xfrm>
                        <a:ext cx="221615" cy="11176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08/9</w:t>
                          </w:r>
                        </w:p>
                      </w:txbxContent>
                    </wps:txbx>
                    <wps:bodyPr wrap="none" lIns="0" tIns="0" rIns="0" bIns="0">
                      <a:spAutoFit/>
                    </wps:bodyPr>
                  </wps:wsp>
                </a:graphicData>
              </a:graphic>
            </wp:anchor>
          </w:drawing>
        </mc:Choice>
        <mc:Fallback>
          <w:pict>
            <v:shape id="_x0000_s1040" type="#_x0000_t202" style="position:absolute;margin-left:527.60000000000002pt;margin-top:27.350000000000001pt;width:17.449999999999999pt;height:8.8000000000000007pt;z-index:-188744055;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08/9</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869315</wp:posOffset>
              </wp:positionH>
              <wp:positionV relativeFrom="page">
                <wp:posOffset>497205</wp:posOffset>
              </wp:positionV>
              <wp:extent cx="6073775" cy="0"/>
              <wp:wrapNone/>
              <wp:docPr id="16" name="Shape 16"/>
              <a:graphic xmlns:a="http://schemas.openxmlformats.org/drawingml/2006/main">
                <a:graphicData uri="http://schemas.microsoft.com/office/word/2010/wordprocessingShape">
                  <wps:wsp>
                    <wps:cNvCnPr/>
                    <wps:spPr>
                      <a:xfrm>
                        <a:ext cx="6073775" cy="0"/>
                      </a:xfrm>
                      <a:prstGeom prst="straightConnector1"/>
                      <a:ln w="12700">
                        <a:solidFill/>
                      </a:ln>
                    </wps:spPr>
                    <wps:bodyPr/>
                  </wps:wsp>
                </a:graphicData>
              </a:graphic>
            </wp:anchor>
          </w:drawing>
        </mc:Choice>
        <mc:Fallback>
          <w:pict>
            <v:shape o:spt="32" o:oned="true" path="m,l21600,21600e" style="position:absolute;margin-left:68.450000000000003pt;margin-top:39.149999999999999pt;width:478.25pt;height:0;z-index:-251658240;mso-position-horizontal-relative:page;mso-position-vertical-relative:page">
              <v:stroke weight="1.pt"/>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6699885</wp:posOffset>
              </wp:positionH>
              <wp:positionV relativeFrom="page">
                <wp:posOffset>283845</wp:posOffset>
              </wp:positionV>
              <wp:extent cx="221615" cy="107315"/>
              <wp:wrapNone/>
              <wp:docPr id="23" name="Shape 23"/>
              <a:graphic xmlns:a="http://schemas.openxmlformats.org/drawingml/2006/main">
                <a:graphicData uri="http://schemas.microsoft.com/office/word/2010/wordprocessingShape">
                  <wps:wsp>
                    <wps:cNvSpPr txBox="1"/>
                    <wps:spPr>
                      <a:xfrm>
                        <a:ext cx="221615" cy="10731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color w:val="000000"/>
                                <w:spacing w:val="0"/>
                                <w:w w:val="100"/>
                                <w:position w:val="0"/>
                                <w:sz w:val="18"/>
                                <w:szCs w:val="18"/>
                                <w:shd w:val="clear" w:color="auto" w:fill="auto"/>
                                <w:lang w:val="ru-RU" w:eastAsia="ru-RU" w:bidi="ru-RU"/>
                              </w:rPr>
                              <w:t>#</w:t>
                            </w:r>
                          </w:fldSimple>
                          <w:r>
                            <w:rPr>
                              <w:color w:val="000000"/>
                              <w:spacing w:val="0"/>
                              <w:w w:val="100"/>
                              <w:position w:val="0"/>
                              <w:sz w:val="18"/>
                              <w:szCs w:val="18"/>
                              <w:shd w:val="clear" w:color="auto" w:fill="auto"/>
                              <w:lang w:val="ru-RU" w:eastAsia="ru-RU" w:bidi="ru-RU"/>
                            </w:rPr>
                            <w:t>/9</w:t>
                          </w:r>
                        </w:p>
                      </w:txbxContent>
                    </wps:txbx>
                    <wps:bodyPr wrap="none" lIns="0" tIns="0" rIns="0" bIns="0">
                      <a:spAutoFit/>
                    </wps:bodyPr>
                  </wps:wsp>
                </a:graphicData>
              </a:graphic>
            </wp:anchor>
          </w:drawing>
        </mc:Choice>
        <mc:Fallback>
          <w:pict>
            <v:shape id="_x0000_s1049" type="#_x0000_t202" style="position:absolute;margin-left:527.54999999999995pt;margin-top:22.350000000000001pt;width:17.449999999999999pt;height:8.4499999999999993pt;z-index:-188744052;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color w:val="000000"/>
                          <w:spacing w:val="0"/>
                          <w:w w:val="100"/>
                          <w:position w:val="0"/>
                          <w:sz w:val="18"/>
                          <w:szCs w:val="18"/>
                          <w:shd w:val="clear" w:color="auto" w:fill="auto"/>
                          <w:lang w:val="ru-RU" w:eastAsia="ru-RU" w:bidi="ru-RU"/>
                        </w:rPr>
                        <w:t>#</w:t>
                      </w:r>
                    </w:fldSimple>
                    <w:r>
                      <w:rPr>
                        <w:color w:val="000000"/>
                        <w:spacing w:val="0"/>
                        <w:w w:val="100"/>
                        <w:position w:val="0"/>
                        <w:sz w:val="18"/>
                        <w:szCs w:val="18"/>
                        <w:shd w:val="clear" w:color="auto" w:fill="auto"/>
                        <w:lang w:val="ru-RU" w:eastAsia="ru-RU" w:bidi="ru-RU"/>
                      </w:rPr>
                      <w:t>/9</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870585</wp:posOffset>
              </wp:positionH>
              <wp:positionV relativeFrom="page">
                <wp:posOffset>421640</wp:posOffset>
              </wp:positionV>
              <wp:extent cx="6073775" cy="0"/>
              <wp:wrapNone/>
              <wp:docPr id="25" name="Shape 25"/>
              <a:graphic xmlns:a="http://schemas.openxmlformats.org/drawingml/2006/main">
                <a:graphicData uri="http://schemas.microsoft.com/office/word/2010/wordprocessingShape">
                  <wps:wsp>
                    <wps:cNvCnPr/>
                    <wps:spPr>
                      <a:xfrm>
                        <a:ext cx="6073775" cy="0"/>
                      </a:xfrm>
                      <a:prstGeom prst="straightConnector1"/>
                      <a:ln w="12700">
                        <a:solidFill/>
                      </a:ln>
                    </wps:spPr>
                    <wps:bodyPr/>
                  </wps:wsp>
                </a:graphicData>
              </a:graphic>
            </wp:anchor>
          </w:drawing>
        </mc:Choice>
        <mc:Fallback>
          <w:pict>
            <v:shape o:spt="32" o:oned="true" path="m,l21600,21600e" style="position:absolute;margin-left:68.549999999999997pt;margin-top:33.200000000000003pt;width:478.25pt;height:0;z-index:-251658240;mso-position-horizontal-relative:page;mso-position-vertical-relative:page">
              <v:stroke weight="1.pt"/>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2"/>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u w:val="none"/>
    </w:rPr>
  </w:style>
  <w:style w:type="character" w:customStyle="1" w:styleId="CharStyle9">
    <w:name w:val="Основной текст (3)_"/>
    <w:basedOn w:val="DefaultParagraphFont"/>
    <w:link w:val="Style8"/>
    <w:rPr>
      <w:rFonts w:ascii="Times New Roman" w:eastAsia="Times New Roman" w:hAnsi="Times New Roman" w:cs="Times New Roman"/>
      <w:b w:val="0"/>
      <w:bCs w:val="0"/>
      <w:i w:val="0"/>
      <w:iCs w:val="0"/>
      <w:smallCaps w:val="0"/>
      <w:strike w:val="0"/>
      <w:color w:val="1F1C3F"/>
      <w:sz w:val="17"/>
      <w:szCs w:val="17"/>
      <w:u w:val="none"/>
    </w:rPr>
  </w:style>
  <w:style w:type="character" w:customStyle="1" w:styleId="CharStyle16">
    <w:name w:val="Заголовок №1_"/>
    <w:basedOn w:val="DefaultParagraphFont"/>
    <w:link w:val="Style15"/>
    <w:rPr>
      <w:rFonts w:ascii="Times New Roman" w:eastAsia="Times New Roman" w:hAnsi="Times New Roman" w:cs="Times New Roman"/>
      <w:b/>
      <w:bCs/>
      <w:i w:val="0"/>
      <w:iCs w:val="0"/>
      <w:smallCaps w:val="0"/>
      <w:strike w:val="0"/>
      <w:sz w:val="22"/>
      <w:szCs w:val="22"/>
      <w:u w:val="none"/>
    </w:rPr>
  </w:style>
  <w:style w:type="character" w:customStyle="1" w:styleId="CharStyle21">
    <w:name w:val="Колонтитул (2)_"/>
    <w:basedOn w:val="DefaultParagraphFont"/>
    <w:link w:val="Style20"/>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2)"/>
    <w:basedOn w:val="Normal"/>
    <w:link w:val="CharStyle3"/>
    <w:pPr>
      <w:widowControl w:val="0"/>
      <w:shd w:val="clear" w:color="auto" w:fill="auto"/>
      <w:spacing w:line="264" w:lineRule="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w:basedOn w:val="Normal"/>
    <w:link w:val="CharStyle6"/>
    <w:pPr>
      <w:widowControl w:val="0"/>
      <w:shd w:val="clear" w:color="auto" w:fill="auto"/>
      <w:spacing w:line="254"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8">
    <w:name w:val="Основной текст (3)"/>
    <w:basedOn w:val="Normal"/>
    <w:link w:val="CharStyle9"/>
    <w:pPr>
      <w:widowControl w:val="0"/>
      <w:shd w:val="clear" w:color="auto" w:fill="auto"/>
      <w:spacing w:after="280" w:line="276" w:lineRule="auto"/>
      <w:jc w:val="center"/>
    </w:pPr>
    <w:rPr>
      <w:rFonts w:ascii="Times New Roman" w:eastAsia="Times New Roman" w:hAnsi="Times New Roman" w:cs="Times New Roman"/>
      <w:b w:val="0"/>
      <w:bCs w:val="0"/>
      <w:i w:val="0"/>
      <w:iCs w:val="0"/>
      <w:smallCaps w:val="0"/>
      <w:strike w:val="0"/>
      <w:color w:val="1F1C3F"/>
      <w:sz w:val="17"/>
      <w:szCs w:val="17"/>
      <w:u w:val="none"/>
    </w:rPr>
  </w:style>
  <w:style w:type="paragraph" w:customStyle="1" w:styleId="Style15">
    <w:name w:val="Заголовок №1"/>
    <w:basedOn w:val="Normal"/>
    <w:link w:val="CharStyle16"/>
    <w:pPr>
      <w:widowControl w:val="0"/>
      <w:shd w:val="clear" w:color="auto" w:fill="auto"/>
      <w:spacing w:line="276" w:lineRule="auto"/>
      <w:ind w:firstLine="720"/>
      <w:outlineLvl w:val="0"/>
    </w:pPr>
    <w:rPr>
      <w:rFonts w:ascii="Times New Roman" w:eastAsia="Times New Roman" w:hAnsi="Times New Roman" w:cs="Times New Roman"/>
      <w:b/>
      <w:bCs/>
      <w:i w:val="0"/>
      <w:iCs w:val="0"/>
      <w:smallCaps w:val="0"/>
      <w:strike w:val="0"/>
      <w:sz w:val="22"/>
      <w:szCs w:val="22"/>
      <w:u w:val="none"/>
    </w:rPr>
  </w:style>
  <w:style w:type="paragraph" w:customStyle="1" w:styleId="Style20">
    <w:name w:val="Колонтитул (2)"/>
    <w:basedOn w:val="Normal"/>
    <w:link w:val="CharStyle2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header" Target="header5.xml"/><Relationship Id="rId12" Type="http://schemas.openxmlformats.org/officeDocument/2006/relationships/header" Target="header6.xml"/><Relationship Id="rId13" Type="http://schemas.openxmlformats.org/officeDocument/2006/relationships/header" Target="header7.xml"/><Relationship Id="rId14" Type="http://schemas.openxmlformats.org/officeDocument/2006/relationships/image" Target="media/image2.jpeg"/><Relationship Id="rId15" Type="http://schemas.openxmlformats.org/officeDocument/2006/relationships/image" Target="media/image2.jpeg" TargetMode="External"/><Relationship Id="rId16" Type="http://schemas.openxmlformats.org/officeDocument/2006/relationships/header" Target="header8.xml"/></Relationships>
</file>