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60705" cy="67056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705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99" w:line="1" w:lineRule="exact"/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  <w:rPr>
          <w:sz w:val="24"/>
          <w:szCs w:val="24"/>
        </w:rPr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5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Архангельской области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ул.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К.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Либкнехта, 2, г. Архангельск, 163000</w:t>
        <w:br/>
        <w:t xml:space="preserve">Тел.: (8182) 20-73-21, </w:t>
      </w:r>
      <w:r>
        <w:rPr>
          <w:color w:val="46445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факс: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(8182)21-54-45</w:t>
        <w:br/>
        <w:t>е-тай:1о29@Га&lt;;.§оу.ги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232" w:val="left"/>
        </w:tabs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171539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На №</w:t>
        <w:tab/>
        <w:t>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Дело № 176мз-24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029/06/48-854/2024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Заказчик 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МУК городского округа «Город Архангельск» «Ломоносовский Дворец культуры»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163062 г. Архангельск, ул.Никитова, д.1 Е-шаП: 1отопосоус1к@уапс1ех.ги,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266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1отопо.8оус1кгак@та11.ги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Уполномоченный орган (конкурсная комиссия):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Контрактное агентство Архангельской области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163069, г. Архангельск, ул.Выучейского, д.18 Е-таП: с!кр@с1ута1ап(1.ги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Шевченко, д. 23 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20"/>
          <w:szCs w:val="20"/>
        </w:rPr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820" w:right="770" w:bottom="1437" w:left="1324" w:header="0" w:footer="3" w:gutter="0"/>
          <w:pgNumType w:start="1"/>
          <w:cols w:num="2" w:space="662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Е-гпаИ: ко(й}г18-1:епс1ег.ги</w:t>
      </w:r>
    </w:p>
    <w:p>
      <w:pPr>
        <w:widowControl w:val="0"/>
        <w:spacing w:line="160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96" w:right="0" w:bottom="146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26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прекращении нарушений Федерального закона «О контрактной системе</w:t>
        <w:br/>
        <w:t>в сфере закупок товаров, работ, услуг для обеспечения</w:t>
        <w:br/>
        <w:t>государственных и муниципальных нужд»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6014085</wp:posOffset>
                </wp:positionH>
                <wp:positionV relativeFrom="paragraph">
                  <wp:posOffset>12700</wp:posOffset>
                </wp:positionV>
                <wp:extent cx="1058545" cy="180340"/>
                <wp:wrapSquare wrapText="lef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8545" cy="1803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Архангельск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473.55000000000001pt;margin-top:1.pt;width:83.350000000000009pt;height:14.2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Архангельск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 сентября 2024 года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Архангельской - области по контролю в сфере закупок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76" w:lineRule="auto"/>
        <w:ind w:left="0" w:right="0" w:firstLine="80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354" w:val="left"/>
        </w:tabs>
        <w:bidi w:val="0"/>
        <w:spacing w:before="0" w:after="0" w:line="276" w:lineRule="auto"/>
        <w:ind w:left="0" w:right="0" w:firstLine="1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Малышева О.С.</w:t>
        <w:tab/>
        <w:t>Заместитель руководителя Управления - начальник отдела контроля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76" w:lineRule="auto"/>
        <w:ind w:left="2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закупок;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0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1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Вознесенская Н.В. Главный специалист-эксперт отдела контроля закупок;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76" w:lineRule="auto"/>
        <w:ind w:left="0" w:right="0" w:firstLine="1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Елисеенков А. А. Главный специалист-эксперт отдела контроля закупок;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276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от 27 сентября 2024 года по делу № 176мз-24 о нарушении</w:t>
      </w:r>
    </w:p>
    <w:p>
      <w:pPr>
        <w:pStyle w:val="Style1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2876" w:val="left"/>
          <w:tab w:leader="underscore" w:pos="9662" w:val="left"/>
        </w:tabs>
        <w:bidi w:val="0"/>
        <w:spacing w:before="0" w:after="0" w:line="27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конкурсной комиссией, созданной Уполномоченным органом - Контрактным</w:t>
        <w:br/>
        <w:tab/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агентством Архангельской области,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305" w:lineRule="auto"/>
        <w:ind w:left="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163069, г. Архангельск, ул.Выучейского, д.18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76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 при проведении открытого конкурса в электронной форме на право заключения муниципального контракта на выполение работ по разработке проектно-сметной документации (в том числе дизайн - проекта) на комплексный капитальный ремонт здания (извещение №0124200000624006176), руководствуясь пунктом 2 части 22 статьи 99 ФЗ «О контрактной системе»,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МУК городского округа «Город Архангельск» «Ломоносовский Дворец культуры» (далее - Заказчик), Уполномоченному органу - Контрактному агентству Архангельской области (далее - Уполномоченный орган), конкурсной комиссии, созданной Уполномоченным органом, (далее - конкурсная комиссия), оператору электронной площадки - ООО «РТС-тендер» (далее - Оператор электронной площадки), устранить выявленные нарушения ФЗ «О контрактной системе», а именно: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органу, конкурсной комиссии отменить протокол рассмотрения и оценки вторых частей от 16.09.2024, протокол подведения итогов определения поставщика от 17.09.2024. Заказчику отменить проект контракта от 19.09.2024.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Разместить информацию об отмене указанных документов на официальном сайте единой информационной системы в сфере закупок в сети Интернет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йПр://2акирк1.цоу.ги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Заказчику, Уполномоченному органу, конкурсной комиссии возможность исполнения пункта 1 настоящего предписания.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Конкурсной комиссии повторно провести процедуру рассмотрения заявок на участие в открытом конкурсе в электронной форме на право заключения муниципального контракта на выполение работ по разработке проектно-сметной документации (в том числе дизайн - проекта) на комплексный капитальный ремонт здания (извещение №0124200000624006176) с учетом требований норм ФЗ «О контрактной системе».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4" w:val="left"/>
        </w:tabs>
        <w:bidi w:val="0"/>
        <w:spacing w:before="0" w:after="1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Уполномоченному органу, конкурсной комиссии исполнить пункты 1, 2 настоящего предписания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22 октября 2024 года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в тот же срок сообщить об исполнении настоящего предписания в Архангельское УФАС России в письменном виде, по факсу (8182) 21-54-45, либо на адрес электронной почты </w:t>
      </w:r>
      <w:r>
        <w:rPr>
          <w:smallCap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1о29@,&amp;5.йоу.гц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приложением подтверждающих документов.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6152" w:val="left"/>
          <w:tab w:pos="8442" w:val="left"/>
        </w:tabs>
        <w:bidi w:val="0"/>
        <w:spacing w:before="0" w:after="540" w:line="240" w:lineRule="auto"/>
        <w:ind w:left="0" w:right="0" w:firstLine="720"/>
        <w:jc w:val="both"/>
        <w:rPr>
          <w:sz w:val="20"/>
          <w:szCs w:val="20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ru-RU" w:eastAsia="ru-RU" w:bidi="ru-RU"/>
        </w:rPr>
        <w:t>Примечание:</w:t>
      </w:r>
      <w:r>
        <w:rPr>
          <w:b/>
          <w:bCs/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 xml:space="preserve"> </w:t>
      </w:r>
      <w:r>
        <w:rPr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Невыполнение должностным лицам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статьи, влечет наложение административного штрафа на должностных лиц в размере пятидесяти тысяч рублей; на юридических лиц - пятисот тысяч рублейфпункт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 xml:space="preserve"> 7 </w:t>
      </w:r>
      <w:r>
        <w:rPr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статьи 19.5 КоАП РФ).</w:t>
        <w:tab/>
      </w:r>
      <w:r>
        <w:rPr>
          <w:i/>
          <w:iCs/>
          <w:color w:val="8F8AAD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/</w:t>
        <w:tab/>
      </w:r>
      <w:r>
        <w:rPr>
          <w:i/>
          <w:iCs/>
          <w:color w:val="615988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 xml:space="preserve">/ . </w:t>
      </w:r>
      <w:r>
        <w:rPr>
          <w:i/>
          <w:iCs/>
          <w:color w:val="8F8AAD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'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5882640</wp:posOffset>
                </wp:positionH>
                <wp:positionV relativeFrom="margin">
                  <wp:posOffset>5735320</wp:posOffset>
                </wp:positionV>
                <wp:extent cx="1158875" cy="173990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88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О.С. Малышева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63.19999999999999pt;margin-top:451.60000000000002pt;width:91.25pt;height:13.700000000000001pt;z-index:-125829373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О.С. Малышева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876300</wp:posOffset>
                </wp:positionH>
                <wp:positionV relativeFrom="margin">
                  <wp:posOffset>6076315</wp:posOffset>
                </wp:positionV>
                <wp:extent cx="1225550" cy="173990"/>
                <wp:wrapSquare wrapText="righ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69.pt;margin-top:478.44999999999999pt;width:96.5pt;height:13.700000000000001pt;z-index:-125829371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margin">
              <wp:posOffset>2919730</wp:posOffset>
            </wp:positionH>
            <wp:positionV relativeFrom="margin">
              <wp:posOffset>5022215</wp:posOffset>
            </wp:positionV>
            <wp:extent cx="3242945" cy="1420495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242945" cy="142049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Н.В. Вознесенская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.А. Елисеенков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96" w:right="691" w:bottom="1462" w:left="127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739775</wp:posOffset>
              </wp:positionH>
              <wp:positionV relativeFrom="page">
                <wp:posOffset>10135870</wp:posOffset>
              </wp:positionV>
              <wp:extent cx="6327775" cy="13716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27775" cy="137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06" w:val="right"/>
                              <w:tab w:pos="763" w:val="right"/>
                              <w:tab w:pos="904" w:val="right"/>
                              <w:tab w:pos="1271" w:val="right"/>
                              <w:tab w:pos="3287" w:val="right"/>
                              <w:tab w:pos="5324" w:val="right"/>
                              <w:tab w:pos="996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ru-RU" w:eastAsia="ru-RU" w:bidi="ru-RU"/>
                            </w:rPr>
                            <w:tab/>
                            <w:tab/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46445C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ru-RU" w:eastAsia="ru-RU" w:bidi="ru-RU"/>
                            </w:rPr>
                            <w:t>,</w:t>
                          </w:r>
                          <w:r>
                            <w:rPr>
                              <w:rFonts w:ascii="Arial" w:eastAsia="Arial" w:hAnsi="Arial" w:cs="Arial"/>
                              <w:color w:val="46445C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vertAlign w:val="superscript"/>
                              <w:lang w:val="ru-RU" w:eastAsia="ru-RU" w:bidi="ru-RU"/>
                            </w:rPr>
                            <w:t>п</w:t>
                          </w:r>
                          <w:r>
                            <w:rPr>
                              <w:rFonts w:ascii="Arial" w:eastAsia="Arial" w:hAnsi="Arial" w:cs="Arial"/>
                              <w:color w:val="46445C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ru-RU" w:eastAsia="ru-RU" w:bidi="ru-RU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ru-RU" w:eastAsia="ru-RU" w:bidi="ru-RU"/>
                            </w:rPr>
                            <w:t>.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46445C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ru-RU" w:eastAsia="ru-RU" w:bidi="ru-RU"/>
                            </w:rPr>
                            <w:tab/>
                            <w:t xml:space="preserve"> :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ru-RU" w:eastAsia="ru-RU" w:bidi="ru-RU"/>
                            </w:rPr>
                            <w:t xml:space="preserve">г </w:t>
                          </w:r>
                          <w:r>
                            <w:rPr>
                              <w:rFonts w:ascii="Arial" w:eastAsia="Arial" w:hAnsi="Arial" w:cs="Arial"/>
                              <w:color w:val="46445C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ru-RU" w:eastAsia="ru-RU" w:bidi="ru-RU"/>
                            </w:rPr>
                            <w:t xml:space="preserve">А; ••■•V ПЛ.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ru-RU" w:eastAsia="ru-RU" w:bidi="ru-RU"/>
                            </w:rPr>
                            <w:t xml:space="preserve">Л </w:t>
                          </w:r>
                          <w:r>
                            <w:rPr>
                              <w:rFonts w:ascii="Arial" w:eastAsia="Arial" w:hAnsi="Arial" w:cs="Arial"/>
                              <w:color w:val="46445C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ru-RU" w:eastAsia="ru-RU" w:bidi="ru-RU"/>
                            </w:rPr>
                            <w:t xml:space="preserve">Д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ru-RU" w:eastAsia="ru-RU" w:bidi="ru-RU"/>
                            </w:rPr>
                            <w:t xml:space="preserve">4, </w:t>
                          </w:r>
                          <w:r>
                            <w:rPr>
                              <w:rFonts w:ascii="Arial" w:eastAsia="Arial" w:hAnsi="Arial" w:cs="Arial"/>
                              <w:color w:val="46445C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ru-RU" w:eastAsia="ru-RU" w:bidi="ru-RU"/>
                            </w:rPr>
                            <w:t xml:space="preserve">Оф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ru-RU" w:eastAsia="ru-RU" w:bidi="ru-RU"/>
                            </w:rPr>
                            <w:t>2: -</w:t>
                            <w:tab/>
                            <w:t>’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vertAlign w:val="superscript"/>
                              <w:lang w:val="ru-RU" w:eastAsia="ru-RU" w:bidi="ru-RU"/>
                            </w:rPr>
                            <w:t>и,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ru-RU" w:eastAsia="ru-RU" w:bidi="ru-RU"/>
                            </w:rPr>
                            <w:t xml:space="preserve">“ </w:t>
                          </w:r>
                          <w:r>
                            <w:rPr>
                              <w:rFonts w:ascii="Arial" w:eastAsia="Arial" w:hAnsi="Arial" w:cs="Arial"/>
                              <w:color w:val="46445C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ru-RU" w:eastAsia="ru-RU" w:bidi="ru-RU"/>
                            </w:rPr>
                            <w:t xml:space="preserve">ЧМ ■ *‘М’ </w:t>
                          </w:r>
                          <w:r>
                            <w:rPr>
                              <w:rFonts w:ascii="Arial" w:eastAsia="Arial" w:hAnsi="Arial" w:cs="Arial"/>
                              <w:color w:val="615988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ru-RU" w:eastAsia="ru-RU" w:bidi="ru-RU"/>
                            </w:rPr>
                            <w:t xml:space="preserve">35К.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ru-RU" w:eastAsia="ru-RU" w:bidi="ru-RU"/>
                            </w:rPr>
                            <w:t xml:space="preserve">30. </w:t>
                          </w:r>
                          <w:r>
                            <w:rPr>
                              <w:rFonts w:ascii="Arial" w:eastAsia="Arial" w:hAnsi="Arial" w:cs="Arial"/>
                              <w:color w:val="46445C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ru-RU" w:eastAsia="ru-RU" w:bidi="ru-RU"/>
                            </w:rPr>
                            <w:t xml:space="preserve">тпр.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ru-RU" w:eastAsia="ru-RU" w:bidi="ru-RU"/>
                            </w:rPr>
                            <w:t>10.</w:t>
                          </w:r>
                          <w:r>
                            <w:rPr>
                              <w:rFonts w:ascii="Arial" w:eastAsia="Arial" w:hAnsi="Arial" w:cs="Arial"/>
                              <w:color w:val="46445C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ru-RU" w:eastAsia="ru-RU" w:bidi="ru-RU"/>
                            </w:rPr>
                            <w:t xml:space="preserve">Н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ru-RU" w:eastAsia="ru-RU" w:bidi="ru-RU"/>
                            </w:rPr>
                            <w:t>-‘".‘2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ru-RU" w:eastAsia="ru-RU" w:bidi="ru-RU"/>
                            </w:rPr>
                            <w:t>046912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8.25pt;margin-top:798.10000000000002pt;width:498.25pt;height:10.80000000000000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06" w:val="right"/>
                        <w:tab w:pos="763" w:val="right"/>
                        <w:tab w:pos="904" w:val="right"/>
                        <w:tab w:pos="1271" w:val="right"/>
                        <w:tab w:pos="3287" w:val="right"/>
                        <w:tab w:pos="5324" w:val="right"/>
                        <w:tab w:pos="996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ru-RU" w:eastAsia="ru-RU" w:bidi="ru-RU"/>
                      </w:rPr>
                      <w:tab/>
                      <w:tab/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46445C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ru-RU" w:eastAsia="ru-RU" w:bidi="ru-RU"/>
                      </w:rPr>
                      <w:t>,</w:t>
                    </w:r>
                    <w:r>
                      <w:rPr>
                        <w:rFonts w:ascii="Arial" w:eastAsia="Arial" w:hAnsi="Arial" w:cs="Arial"/>
                        <w:color w:val="46445C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vertAlign w:val="superscript"/>
                        <w:lang w:val="ru-RU" w:eastAsia="ru-RU" w:bidi="ru-RU"/>
                      </w:rPr>
                      <w:t>п</w:t>
                    </w:r>
                    <w:r>
                      <w:rPr>
                        <w:rFonts w:ascii="Arial" w:eastAsia="Arial" w:hAnsi="Arial" w:cs="Arial"/>
                        <w:color w:val="46445C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ru-RU" w:eastAsia="ru-RU" w:bidi="ru-RU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ru-RU" w:eastAsia="ru-RU" w:bidi="ru-RU"/>
                      </w:rPr>
                      <w:t>.</w:t>
                      <w:tab/>
                    </w:r>
                    <w:r>
                      <w:rPr>
                        <w:rFonts w:ascii="Arial" w:eastAsia="Arial" w:hAnsi="Arial" w:cs="Arial"/>
                        <w:color w:val="46445C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ru-RU" w:eastAsia="ru-RU" w:bidi="ru-RU"/>
                      </w:rPr>
                      <w:tab/>
                      <w:t xml:space="preserve"> :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ru-RU" w:eastAsia="ru-RU" w:bidi="ru-RU"/>
                      </w:rPr>
                      <w:t xml:space="preserve">г </w:t>
                    </w:r>
                    <w:r>
                      <w:rPr>
                        <w:rFonts w:ascii="Arial" w:eastAsia="Arial" w:hAnsi="Arial" w:cs="Arial"/>
                        <w:color w:val="46445C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ru-RU" w:eastAsia="ru-RU" w:bidi="ru-RU"/>
                      </w:rPr>
                      <w:t xml:space="preserve">А; ••■•V ПЛ.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ru-RU" w:eastAsia="ru-RU" w:bidi="ru-RU"/>
                      </w:rPr>
                      <w:t xml:space="preserve">Л </w:t>
                    </w:r>
                    <w:r>
                      <w:rPr>
                        <w:rFonts w:ascii="Arial" w:eastAsia="Arial" w:hAnsi="Arial" w:cs="Arial"/>
                        <w:color w:val="46445C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ru-RU" w:eastAsia="ru-RU" w:bidi="ru-RU"/>
                      </w:rPr>
                      <w:t xml:space="preserve">Д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ru-RU" w:eastAsia="ru-RU" w:bidi="ru-RU"/>
                      </w:rPr>
                      <w:t xml:space="preserve">4, </w:t>
                    </w:r>
                    <w:r>
                      <w:rPr>
                        <w:rFonts w:ascii="Arial" w:eastAsia="Arial" w:hAnsi="Arial" w:cs="Arial"/>
                        <w:color w:val="46445C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ru-RU" w:eastAsia="ru-RU" w:bidi="ru-RU"/>
                      </w:rPr>
                      <w:t xml:space="preserve">Оф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ru-RU" w:eastAsia="ru-RU" w:bidi="ru-RU"/>
                      </w:rPr>
                      <w:t>2: -</w:t>
                      <w:tab/>
                      <w:t>’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vertAlign w:val="superscript"/>
                        <w:lang w:val="ru-RU" w:eastAsia="ru-RU" w:bidi="ru-RU"/>
                      </w:rPr>
                      <w:t>и,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ru-RU" w:eastAsia="ru-RU" w:bidi="ru-RU"/>
                      </w:rPr>
                      <w:t xml:space="preserve">“ </w:t>
                    </w:r>
                    <w:r>
                      <w:rPr>
                        <w:rFonts w:ascii="Arial" w:eastAsia="Arial" w:hAnsi="Arial" w:cs="Arial"/>
                        <w:color w:val="46445C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ru-RU" w:eastAsia="ru-RU" w:bidi="ru-RU"/>
                      </w:rPr>
                      <w:t xml:space="preserve">ЧМ ■ *‘М’ </w:t>
                    </w:r>
                    <w:r>
                      <w:rPr>
                        <w:rFonts w:ascii="Arial" w:eastAsia="Arial" w:hAnsi="Arial" w:cs="Arial"/>
                        <w:color w:val="615988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ru-RU" w:eastAsia="ru-RU" w:bidi="ru-RU"/>
                      </w:rPr>
                      <w:t xml:space="preserve">35К.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ru-RU" w:eastAsia="ru-RU" w:bidi="ru-RU"/>
                      </w:rPr>
                      <w:t xml:space="preserve">30. </w:t>
                    </w:r>
                    <w:r>
                      <w:rPr>
                        <w:rFonts w:ascii="Arial" w:eastAsia="Arial" w:hAnsi="Arial" w:cs="Arial"/>
                        <w:color w:val="46445C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ru-RU" w:eastAsia="ru-RU" w:bidi="ru-RU"/>
                      </w:rPr>
                      <w:t xml:space="preserve">тпр.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ru-RU" w:eastAsia="ru-RU" w:bidi="ru-RU"/>
                      </w:rPr>
                      <w:t>10.</w:t>
                    </w:r>
                    <w:r>
                      <w:rPr>
                        <w:rFonts w:ascii="Arial" w:eastAsia="Arial" w:hAnsi="Arial" w:cs="Arial"/>
                        <w:color w:val="46445C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ru-RU" w:eastAsia="ru-RU" w:bidi="ru-RU"/>
                      </w:rPr>
                      <w:t xml:space="preserve">Н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ru-RU" w:eastAsia="ru-RU" w:bidi="ru-RU"/>
                      </w:rPr>
                      <w:t>-‘".‘2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ru-RU" w:eastAsia="ru-RU" w:bidi="ru-RU"/>
                      </w:rPr>
                      <w:t>046912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2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A186C"/>
      <w:sz w:val="26"/>
      <w:szCs w:val="26"/>
      <w:u w:val="none"/>
    </w:rPr>
  </w:style>
  <w:style w:type="character" w:customStyle="1" w:styleId="CharStyle12">
    <w:name w:val="Основной текст (3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539"/>
      <w:sz w:val="18"/>
      <w:szCs w:val="18"/>
      <w:u w:val="non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auto"/>
      <w:spacing w:after="210" w:line="24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A186C"/>
      <w:sz w:val="26"/>
      <w:szCs w:val="26"/>
      <w:u w:val="none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auto"/>
      <w:spacing w:after="740" w:line="26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539"/>
      <w:sz w:val="18"/>
      <w:szCs w:val="18"/>
      <w:u w:val="non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spacing w:line="26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