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5"/>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838" w:val="left"/>
          <w:tab w:pos="2554"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02,10,2024</w:t>
      </w:r>
      <w:r>
        <w:fldChar w:fldCharType="end"/>
      </w:r>
      <w:r>
        <w:rPr>
          <w:color w:val="000000"/>
          <w:spacing w:val="0"/>
          <w:w w:val="100"/>
          <w:position w:val="0"/>
          <w:shd w:val="clear" w:color="auto" w:fill="auto"/>
          <w:lang w:val="ru-RU" w:eastAsia="ru-RU" w:bidi="ru-RU"/>
        </w:rPr>
        <w:tab/>
        <w:t>№</w:t>
        <w:tab/>
        <w:t>10411/24</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«Синергия-Сервис»</w:t>
      </w:r>
      <w:bookmarkEnd w:id="2"/>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614000, г. Пермь, ул. Докучаева, д. 24, кв. 19</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шкиНпшга@уапдех.ш 8те^а8е^8@уапдех.ш</w:t>
      </w:r>
    </w:p>
    <w:p>
      <w:pPr>
        <w:pStyle w:val="Style15"/>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МКУ «Служба благоустройства г.</w:t>
      </w:r>
      <w:bookmarkEnd w:id="4"/>
    </w:p>
    <w:p>
      <w:pPr>
        <w:pStyle w:val="Style15"/>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Березники»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618400, Пермский край, г. Березники, ул.</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Карла Маркса, 50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ти8ЬЬ@Н81.ш</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 xml:space="preserve">ГКУ ПК «Центр организации закупок» </w:t>
      </w: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ШсЬе1та@сх.регткгаЁш</w:t>
      </w:r>
    </w:p>
    <w:p>
      <w:pPr>
        <w:pStyle w:val="Style15"/>
        <w:keepNext/>
        <w:keepLines/>
        <w:widowControl w:val="0"/>
        <w:shd w:val="clear" w:color="auto" w:fill="auto"/>
        <w:bidi w:val="0"/>
        <w:spacing w:before="0" w:after="0" w:line="240" w:lineRule="auto"/>
        <w:ind w:left="0" w:right="0" w:firstLine="0"/>
        <w:jc w:val="left"/>
      </w:pPr>
      <w:bookmarkStart w:id="7" w:name="bookmark7"/>
      <w:r>
        <w:rPr>
          <w:color w:val="000000"/>
          <w:spacing w:val="0"/>
          <w:w w:val="100"/>
          <w:position w:val="0"/>
          <w:sz w:val="24"/>
          <w:szCs w:val="24"/>
          <w:shd w:val="clear" w:color="auto" w:fill="auto"/>
          <w:lang w:val="ru-RU" w:eastAsia="ru-RU" w:bidi="ru-RU"/>
        </w:rPr>
        <w:t>Комиссия ГКУ ПК «Центр организации закупок»</w:t>
      </w:r>
      <w:bookmarkEnd w:id="7"/>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ШсЬе1та@сх.регткгаЁш</w:t>
      </w:r>
    </w:p>
    <w:p>
      <w:pPr>
        <w:pStyle w:val="Style15"/>
        <w:keepNext/>
        <w:keepLines/>
        <w:widowControl w:val="0"/>
        <w:shd w:val="clear" w:color="auto" w:fill="auto"/>
        <w:bidi w:val="0"/>
        <w:spacing w:before="0" w:after="0" w:line="240" w:lineRule="auto"/>
        <w:ind w:left="0" w:right="0" w:firstLine="0"/>
        <w:jc w:val="left"/>
      </w:pPr>
      <w:bookmarkStart w:id="9" w:name="bookmark9"/>
      <w:r>
        <w:rPr>
          <w:color w:val="000000"/>
          <w:spacing w:val="0"/>
          <w:w w:val="100"/>
          <w:position w:val="0"/>
          <w:sz w:val="24"/>
          <w:szCs w:val="24"/>
          <w:shd w:val="clear" w:color="auto" w:fill="auto"/>
          <w:lang w:val="ru-RU" w:eastAsia="ru-RU" w:bidi="ru-RU"/>
        </w:rPr>
        <w:t>ЭТП «Фабрикант»</w:t>
      </w:r>
      <w:bookmarkEnd w:id="9"/>
    </w:p>
    <w:p>
      <w:pPr>
        <w:pStyle w:val="Style13"/>
        <w:keepNext w:val="0"/>
        <w:keepLines w:val="0"/>
        <w:widowControl w:val="0"/>
        <w:shd w:val="clear" w:color="auto" w:fill="auto"/>
        <w:bidi w:val="0"/>
        <w:spacing w:before="0" w:after="0" w:line="240" w:lineRule="auto"/>
        <w:ind w:left="0" w:right="0" w:firstLine="0"/>
        <w:jc w:val="both"/>
        <w:sectPr>
          <w:footerReference w:type="default" r:id="rId7"/>
          <w:footerReference w:type="first" r:id="rId8"/>
          <w:footnotePr>
            <w:pos w:val="pageBottom"/>
            <w:numFmt w:val="decimal"/>
            <w:numRestart w:val="continuous"/>
          </w:footnotePr>
          <w:pgSz w:w="11900" w:h="16840"/>
          <w:pgMar w:top="284" w:right="868" w:bottom="1198" w:left="1140" w:header="0" w:footer="3" w:gutter="0"/>
          <w:pgNumType w:start="1"/>
          <w:cols w:num="2" w:space="720" w:equalWidth="0">
            <w:col w:w="4061" w:space="1205"/>
            <w:col w:w="4627"/>
          </w:cols>
          <w:noEndnote/>
          <w:titlePg/>
          <w:rtlGutter w:val="0"/>
          <w:docGrid w:linePitch="360"/>
        </w:sectPr>
      </w:pPr>
      <w:r>
        <w:rPr>
          <w:color w:val="000000"/>
          <w:spacing w:val="0"/>
          <w:w w:val="100"/>
          <w:position w:val="0"/>
          <w:sz w:val="24"/>
          <w:szCs w:val="24"/>
          <w:shd w:val="clear" w:color="auto" w:fill="auto"/>
          <w:lang w:val="ru-RU" w:eastAsia="ru-RU" w:bidi="ru-RU"/>
        </w:rPr>
        <w:t>тГо@ГаЬпкап1.ш</w:t>
      </w:r>
    </w:p>
    <w:p>
      <w:pPr>
        <w:widowControl w:val="0"/>
        <w:spacing w:line="240" w:lineRule="exact"/>
        <w:rPr>
          <w:sz w:val="19"/>
          <w:szCs w:val="19"/>
        </w:rPr>
      </w:pPr>
    </w:p>
    <w:p>
      <w:pPr>
        <w:widowControl w:val="0"/>
        <w:spacing w:before="110" w:after="11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0" w:right="0" w:bottom="1182"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1" w:name="bookmark11"/>
      <w:r>
        <w:rPr>
          <w:color w:val="000000"/>
          <w:spacing w:val="0"/>
          <w:w w:val="100"/>
          <w:position w:val="0"/>
          <w:sz w:val="24"/>
          <w:szCs w:val="24"/>
          <w:shd w:val="clear" w:color="auto" w:fill="auto"/>
          <w:lang w:val="ru-RU" w:eastAsia="ru-RU" w:bidi="ru-RU"/>
        </w:rPr>
        <w:t>РЕШЕНИЕ по делу № 059/06/105-1192/2024</w:t>
      </w:r>
      <w:bookmarkEnd w:id="11"/>
    </w:p>
    <w:p>
      <w:pPr>
        <w:pStyle w:val="Style13"/>
        <w:keepNext w:val="0"/>
        <w:keepLines w:val="0"/>
        <w:widowControl w:val="0"/>
        <w:shd w:val="clear" w:color="auto" w:fill="auto"/>
        <w:bidi w:val="0"/>
        <w:spacing w:before="0" w:after="520" w:line="240" w:lineRule="auto"/>
        <w:ind w:left="0" w:right="0" w:firstLine="0"/>
        <w:jc w:val="center"/>
      </w:pPr>
      <w:r>
        <w:rPr>
          <w:color w:val="000000"/>
          <w:spacing w:val="0"/>
          <w:w w:val="100"/>
          <w:position w:val="0"/>
          <w:sz w:val="24"/>
          <w:szCs w:val="24"/>
          <w:shd w:val="clear" w:color="auto" w:fill="auto"/>
          <w:lang w:val="ru-RU" w:eastAsia="ru-RU" w:bidi="ru-RU"/>
        </w:rPr>
        <w:t>(жалоба ООО «Синергия-Сервис», вх. № 14152/24 от 23.09.2024 г.)</w:t>
      </w:r>
    </w:p>
    <w:p>
      <w:pPr>
        <w:pStyle w:val="Style15"/>
        <w:keepNext/>
        <w:keepLines/>
        <w:widowControl w:val="0"/>
        <w:shd w:val="clear" w:color="auto" w:fill="auto"/>
        <w:tabs>
          <w:tab w:pos="9216" w:val="left"/>
        </w:tabs>
        <w:bidi w:val="0"/>
        <w:spacing w:before="0" w:after="0" w:line="240" w:lineRule="auto"/>
        <w:ind w:left="0" w:right="0" w:firstLine="0"/>
        <w:jc w:val="both"/>
      </w:pPr>
      <w:bookmarkStart w:id="13" w:name="bookmark13"/>
      <w:r>
        <w:rPr>
          <w:color w:val="000000"/>
          <w:spacing w:val="0"/>
          <w:w w:val="100"/>
          <w:position w:val="0"/>
          <w:sz w:val="24"/>
          <w:szCs w:val="24"/>
          <w:shd w:val="clear" w:color="auto" w:fill="auto"/>
          <w:lang w:val="ru-RU" w:eastAsia="ru-RU" w:bidi="ru-RU"/>
        </w:rPr>
        <w:t>27.09.2024 г.</w:t>
        <w:tab/>
        <w:t>г. Пермь</w:t>
      </w:r>
      <w:bookmarkEnd w:id="13"/>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Председатель Комиссии - Субботина Е.С.</w:t>
      </w:r>
      <w:r>
        <w:rPr>
          <w:color w:val="000000"/>
          <w:spacing w:val="0"/>
          <w:w w:val="100"/>
          <w:position w:val="0"/>
          <w:sz w:val="24"/>
          <w:szCs w:val="24"/>
          <w:shd w:val="clear" w:color="auto" w:fill="auto"/>
          <w:lang w:val="ru-RU" w:eastAsia="ru-RU" w:bidi="ru-RU"/>
        </w:rPr>
        <w:t>, начальник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Качин М.Е.</w:t>
      </w:r>
      <w:r>
        <w:rPr>
          <w:color w:val="000000"/>
          <w:spacing w:val="0"/>
          <w:w w:val="100"/>
          <w:position w:val="0"/>
          <w:sz w:val="24"/>
          <w:szCs w:val="24"/>
          <w:shd w:val="clear" w:color="auto" w:fill="auto"/>
          <w:lang w:val="ru-RU" w:eastAsia="ru-RU" w:bidi="ru-RU"/>
        </w:rPr>
        <w:t>, ведущий специалист-эксперт отдела контроля закупок,</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Журавлев М.А.</w:t>
      </w:r>
      <w:r>
        <w:rPr>
          <w:color w:val="000000"/>
          <w:spacing w:val="0"/>
          <w:w w:val="100"/>
          <w:position w:val="0"/>
          <w:sz w:val="24"/>
          <w:szCs w:val="24"/>
          <w:shd w:val="clear" w:color="auto" w:fill="auto"/>
          <w:lang w:val="ru-RU" w:eastAsia="ru-RU" w:bidi="ru-RU"/>
        </w:rPr>
        <w:t>, ведущий специалист-эксперт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комиссии ГКУ ПК «Центр организации закупок» - Мисюрёвой Е.В. (на основании доверенности),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отсутствие представителей ООО «Синергия-Сервис», МКУ «Служба благоустройства г. Березники» (извещены надлежащим образом),</w:t>
      </w:r>
    </w:p>
    <w:p>
      <w:pPr>
        <w:pStyle w:val="Style13"/>
        <w:keepNext w:val="0"/>
        <w:keepLines w:val="0"/>
        <w:widowControl w:val="0"/>
        <w:shd w:val="clear" w:color="auto" w:fill="auto"/>
        <w:bidi w:val="0"/>
        <w:spacing w:before="0" w:after="360" w:line="240" w:lineRule="auto"/>
        <w:ind w:left="0" w:right="0" w:firstLine="740"/>
        <w:jc w:val="both"/>
      </w:pPr>
      <w:r>
        <w:rPr>
          <w:color w:val="000000"/>
          <w:spacing w:val="0"/>
          <w:w w:val="100"/>
          <w:position w:val="0"/>
          <w:sz w:val="24"/>
          <w:szCs w:val="24"/>
          <w:shd w:val="clear" w:color="auto" w:fill="auto"/>
          <w:lang w:val="ru-RU" w:eastAsia="ru-RU" w:bidi="ru-RU"/>
        </w:rPr>
        <w:t>рассмотрев жалобу ООО «Синергия-Сервис» (далее - Заявитель) на действия комиссии ГКУ ПК «Центр организации закупок» (далее - Аукционная комиссия) при проведении электронного аукциона на выполнение работ по изготовлению и установке памятников и других надмогильных сооружений (надгробий) на местах воинских захоронений в рамках благоустройства территории захоронения бойцов ОМОН и бойцов СВО (изв.№ 0356500001424005722),</w:t>
      </w:r>
    </w:p>
    <w:p>
      <w:pPr>
        <w:pStyle w:val="Style18"/>
        <w:keepNext/>
        <w:keepLines/>
        <w:widowControl w:val="0"/>
        <w:shd w:val="clear" w:color="auto" w:fill="auto"/>
        <w:bidi w:val="0"/>
        <w:spacing w:before="0" w:line="240" w:lineRule="auto"/>
        <w:ind w:left="0" w:right="0" w:firstLine="0"/>
        <w:jc w:val="left"/>
      </w:pPr>
      <w:bookmarkStart w:id="15" w:name="bookmark15"/>
      <w:r>
        <w:rPr>
          <w:color w:val="000000"/>
          <w:spacing w:val="0"/>
          <w:w w:val="100"/>
          <w:position w:val="0"/>
          <w:shd w:val="clear" w:color="auto" w:fill="auto"/>
          <w:lang w:val="ru-RU" w:eastAsia="ru-RU" w:bidi="ru-RU"/>
        </w:rPr>
        <w:t>1111111111111111111111</w:t>
      </w:r>
      <w:bookmarkEnd w:id="15"/>
    </w:p>
    <w:p>
      <w:pPr>
        <w:pStyle w:val="Style15"/>
        <w:keepNext/>
        <w:keepLines/>
        <w:widowControl w:val="0"/>
        <w:shd w:val="clear" w:color="auto" w:fill="auto"/>
        <w:bidi w:val="0"/>
        <w:spacing w:before="0" w:after="0" w:line="240" w:lineRule="auto"/>
        <w:ind w:left="0" w:right="0" w:firstLine="0"/>
        <w:jc w:val="center"/>
      </w:pPr>
      <w:bookmarkStart w:id="17" w:name="bookmark17"/>
      <w:r>
        <w:rPr>
          <w:color w:val="000000"/>
          <w:spacing w:val="0"/>
          <w:w w:val="100"/>
          <w:position w:val="0"/>
          <w:sz w:val="24"/>
          <w:szCs w:val="24"/>
          <w:shd w:val="clear" w:color="auto" w:fill="auto"/>
          <w:lang w:val="ru-RU" w:eastAsia="ru-RU" w:bidi="ru-RU"/>
        </w:rPr>
        <w:t>УСТАНОВИЛА:</w:t>
      </w:r>
      <w:bookmarkEnd w:id="17"/>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w:t>
      </w:r>
    </w:p>
    <w:p>
      <w:pPr>
        <w:pStyle w:val="Style13"/>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0356500001424005722 МКУ «Служба благоустройства г. Березники» (далее - Заказчик), ГКУ ПК «Центр организации закупок» (далее - Уполномоченное учреждение) проводился электронный аукцион на выполнение работ по изготовлению и установке памятников и других надмогильных сооружений (надгробий) на местах воинских захоронений в рамках благоустройства территории захоронения бойцов ОМОН и бойцов СВО.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3"/>
        <w:keepNext w:val="0"/>
        <w:keepLines w:val="0"/>
        <w:widowControl w:val="0"/>
        <w:numPr>
          <w:ilvl w:val="0"/>
          <w:numId w:val="3"/>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- 06.09.2024 г.</w:t>
      </w:r>
    </w:p>
    <w:p>
      <w:pPr>
        <w:pStyle w:val="Style13"/>
        <w:keepNext w:val="0"/>
        <w:keepLines w:val="0"/>
        <w:widowControl w:val="0"/>
        <w:numPr>
          <w:ilvl w:val="0"/>
          <w:numId w:val="3"/>
        </w:numPr>
        <w:shd w:val="clear" w:color="auto" w:fill="auto"/>
        <w:tabs>
          <w:tab w:pos="17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3"/>
        <w:keepNext w:val="0"/>
        <w:keepLines w:val="0"/>
        <w:widowControl w:val="0"/>
        <w:numPr>
          <w:ilvl w:val="0"/>
          <w:numId w:val="3"/>
        </w:numPr>
        <w:shd w:val="clear" w:color="auto" w:fill="auto"/>
        <w:tabs>
          <w:tab w:pos="17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- 7 372 813,14 руб.;</w:t>
      </w:r>
    </w:p>
    <w:p>
      <w:pPr>
        <w:pStyle w:val="Style13"/>
        <w:keepNext w:val="0"/>
        <w:keepLines w:val="0"/>
        <w:widowControl w:val="0"/>
        <w:numPr>
          <w:ilvl w:val="0"/>
          <w:numId w:val="3"/>
        </w:numPr>
        <w:shd w:val="clear" w:color="auto" w:fill="auto"/>
        <w:tabs>
          <w:tab w:pos="17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- 16.09.2024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16.09.2024 №ИЭА1 заявка Заявителя (идентификационный номер заявки - 1) была признана Аукционной комиссией не соответствующей требованиям извещения о проведении закупки на основании п. 3 ч. 12 ст. 48 Закона о закупках - несоответствие участника закупки требованиям, установленным в извещении об осуществлении закупки в соответствии с ч. 2 ст. 31 Закона о закупках, в частности, в заявке на участие в закупке отсутствуют копии документов, подтверждающие соответствие участника закупки требованиям, установленным частью 2 статьи 31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Требования в соответствии с позицией 9 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Наличие у участника закупки следующего опыта выполнения работ: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или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или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(в составе заявки участником представлен контракт № ЭА/2023-146 от 25.08.2023, не соответствующий по опыту выполнения работ - Модернизации КНС № 5 Эжвинского района МО ГО «Сыктывкар» (модернизация насосного оборудования, автоматизации и диспетчеризации)).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с решением Аукционной комиссии не согласен. Так Заявитель указывает, что предмет контракта № ЭА/2023-146 от 25.08.2023 г. соответствует коду ОКПД2 проводимой закупки. Кроме того, на электронной площадке контракт № ЭА/2023-146 от 25.08.2023 г. содержался в разделе, касающегося подтверждения соответствия участника требованиям позицией 9 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3"/>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300" w:right="543" w:bottom="1182" w:left="1099"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Аукционной комиссии указал, что Заявителем на рассмотрение Аукционной комиссии был представлен контракт № ЭА/2023-146 от 25.08.2023 г. на выполнение работ по модернизации КНС № 5 Эжвинского района МО ГО «Сыктывкар» (модернизация насосного оборудования, автоматизации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 диспетчеризации), заключенный с ЭМУП «Жилкомхоз».Согласно ответу на запрос от АСРО «ГПС» от 29.02.2024 г. № 865 об определении характера выполненных работ по контракту № ЭА/2023-146, данный контракт не является подтверждением наличия опыта, установленного п. 9 раздела II приложения к Постановлению Правительства РФ от 29.12.2021 № 2571. Поскольку предмет представленного Заявителем договора не соответствует предмету договоров, указанных в п. п. 9 раздела II приложения к Постановлению Правительства РФ от 29.12.2021 № 2571, считаем, что Аукционная комиссия правомерно отклонила заявку Заявителя.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7"/>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76" w:lineRule="auto"/>
        <w:ind w:left="0" w:right="0" w:firstLine="720"/>
        <w:jc w:val="both"/>
      </w:pPr>
      <w:r>
        <w:rPr>
          <w:color w:val="000000"/>
          <w:spacing w:val="0"/>
          <w:w w:val="100"/>
          <w:position w:val="0"/>
          <w:sz w:val="24"/>
          <w:szCs w:val="24"/>
          <w:shd w:val="clear" w:color="auto" w:fill="auto"/>
          <w:lang w:val="ru-RU" w:eastAsia="ru-RU" w:bidi="ru-RU"/>
        </w:rP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2024-11472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закупках, требования, предъявляемые к участникам закупки в соответствии с ч. 2 и 2.1 (при наличии таких требований) ст. 31 Закона о закупках,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закупках (при наличии такого требования).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2 ст. 31 Закона о закупках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3"/>
        <w:keepNext w:val="0"/>
        <w:keepLines w:val="0"/>
        <w:widowControl w:val="0"/>
        <w:numPr>
          <w:ilvl w:val="0"/>
          <w:numId w:val="9"/>
        </w:numPr>
        <w:shd w:val="clear" w:color="auto" w:fill="auto"/>
        <w:tabs>
          <w:tab w:pos="104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3"/>
        <w:keepNext w:val="0"/>
        <w:keepLines w:val="0"/>
        <w:widowControl w:val="0"/>
        <w:numPr>
          <w:ilvl w:val="0"/>
          <w:numId w:val="9"/>
        </w:numPr>
        <w:shd w:val="clear" w:color="auto" w:fill="auto"/>
        <w:tabs>
          <w:tab w:pos="105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3"/>
        <w:keepNext w:val="0"/>
        <w:keepLines w:val="0"/>
        <w:widowControl w:val="0"/>
        <w:numPr>
          <w:ilvl w:val="0"/>
          <w:numId w:val="9"/>
        </w:numPr>
        <w:shd w:val="clear" w:color="auto" w:fill="auto"/>
        <w:tabs>
          <w:tab w:pos="106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3"/>
        <w:keepNext w:val="0"/>
        <w:keepLines w:val="0"/>
        <w:widowControl w:val="0"/>
        <w:numPr>
          <w:ilvl w:val="0"/>
          <w:numId w:val="9"/>
        </w:numPr>
        <w:shd w:val="clear" w:color="auto" w:fill="auto"/>
        <w:tabs>
          <w:tab w:pos="105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3 ст. 31 Закона о закупках перечень информации и документов, которые подтверждают соответствие участников закупок дополнительным требованиям, указанным в ч. 2 и 2.1 ст. 31 Закона о закупках, устанавливается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4 ст. 31 Закона о закупках в случае установления Правительством Российской Федерации в соответствии с ч. 2 ст. 31 Закона о закупках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 6 ст. 31 Закона о закупках Заказчики не вправе устанавливать требования к участникам закупок в нарушение требований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12 ст. 24.2 Закона о закупках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 2 и 2.1 ст. 31 Закона о закупках,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 3 ст. 31 Закона о закупках.</w:t>
      </w:r>
    </w:p>
    <w:p>
      <w:pPr>
        <w:pStyle w:val="Style13"/>
        <w:keepNext w:val="0"/>
        <w:keepLines w:val="0"/>
        <w:widowControl w:val="0"/>
        <w:shd w:val="clear" w:color="auto" w:fill="auto"/>
        <w:bidi w:val="0"/>
        <w:spacing w:before="0" w:after="0" w:line="336" w:lineRule="auto"/>
        <w:ind w:left="0" w:right="0" w:firstLine="740"/>
        <w:jc w:val="both"/>
        <w:sectPr>
          <w:footerReference w:type="default" r:id="rId9"/>
          <w:footnotePr>
            <w:pos w:val="pageBottom"/>
            <w:numFmt w:val="decimal"/>
            <w:numRestart w:val="continuous"/>
          </w:footnotePr>
          <w:pgSz w:w="11900" w:h="16840"/>
          <w:pgMar w:top="1110" w:right="546" w:bottom="526" w:left="1106"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В силу пп. «а» п. 1 Постановления Правительства РФ от 29.12.2021 № 2571 «О требованиях к участникам закупки товаров, работ, услуг для обеспечения государственных и муниципальных 2024-11472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нужд и признании утратившими силу некоторых актов и отдельных положений актов Правительства Российской Федерации» (далее - ПП РФ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Подпунктом «а» п. 3 ПП РФ №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Подпунктом «б» п. 3 ПП РФ № 2571 установлено, что для целей настоящего постановления:</w:t>
      </w:r>
    </w:p>
    <w:p>
      <w:pPr>
        <w:pStyle w:val="Style13"/>
        <w:keepNext w:val="0"/>
        <w:keepLines w:val="0"/>
        <w:widowControl w:val="0"/>
        <w:numPr>
          <w:ilvl w:val="0"/>
          <w:numId w:val="11"/>
        </w:numPr>
        <w:shd w:val="clear" w:color="auto" w:fill="auto"/>
        <w:tabs>
          <w:tab w:pos="98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пунктом 2 позиции 17, пунктами 1 и 2 позиции 18, позициями 32 - 36, пунктом 1 позиции 37, пунктом 1 позиции 39, позициями 40 и 41 приложения в графе «Дополнительные требования к участникам закупки», считается контракт, заключенный и исполненный в соответствии с Законом о закупках, либо договор, заключенный и исполненный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numPr>
          <w:ilvl w:val="0"/>
          <w:numId w:val="11"/>
        </w:numPr>
        <w:shd w:val="clear" w:color="auto" w:fill="auto"/>
        <w:tabs>
          <w:tab w:pos="98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о закупках в полном объеме и со всеми приложениями, за исключением случаев, предусмотренных абзацами шестым и седьмым пп. «г» п. 3 ПП РФ № 2571. При проведении предусмотренных Законом о закупках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 При проведении закрытого конкурса, закрытого аукциона направляются документы или заверенные участником закупки их копии.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9 раздела 2 приложения к ПП РФ № 2571 при осуществлении работ по строительству некапитального строения, сооружения (строений, сооружений), благоустройству территории к участникам закупки устанавливается дополнительное требование:</w:t>
      </w:r>
    </w:p>
    <w:p>
      <w:pPr>
        <w:pStyle w:val="Style13"/>
        <w:keepNext w:val="0"/>
        <w:keepLines w:val="0"/>
        <w:widowControl w:val="0"/>
        <w:numPr>
          <w:ilvl w:val="0"/>
          <w:numId w:val="11"/>
        </w:numPr>
        <w:shd w:val="clear" w:color="auto" w:fill="auto"/>
        <w:tabs>
          <w:tab w:pos="166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участника закупки следующего опыта выполнения работ:</w:t>
      </w:r>
    </w:p>
    <w:p>
      <w:pPr>
        <w:pStyle w:val="Style13"/>
        <w:keepNext w:val="0"/>
        <w:keepLines w:val="0"/>
        <w:widowControl w:val="0"/>
        <w:numPr>
          <w:ilvl w:val="0"/>
          <w:numId w:val="13"/>
        </w:numPr>
        <w:shd w:val="clear" w:color="auto" w:fill="auto"/>
        <w:tabs>
          <w:tab w:pos="106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13"/>
        <w:keepNext w:val="0"/>
        <w:keepLines w:val="0"/>
        <w:widowControl w:val="0"/>
        <w:numPr>
          <w:ilvl w:val="0"/>
          <w:numId w:val="13"/>
        </w:numPr>
        <w:shd w:val="clear" w:color="auto" w:fill="auto"/>
        <w:tabs>
          <w:tab w:pos="106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13"/>
        <w:keepNext w:val="0"/>
        <w:keepLines w:val="0"/>
        <w:widowControl w:val="0"/>
        <w:numPr>
          <w:ilvl w:val="0"/>
          <w:numId w:val="13"/>
        </w:numPr>
        <w:shd w:val="clear" w:color="auto" w:fill="auto"/>
        <w:tabs>
          <w:tab w:pos="106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качестве документов, подтверждающих наличие у участника соответствующего опыта, в п. 9 раздела 2 приложения к ПП РФ № 2571 установлено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в случае наличия опыта, предусмотренного пунктом 1 графы «Дополнительные требования к участникам закупки» настоящей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исполненный договор;</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 акт выполненных работ, подтверждающий цену выполненных работ.</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случае наличия опыта, предусмотренного пунктом 2 графы «Дополнительные требования </w:t>
      </w:r>
      <w:r>
        <w:rPr>
          <w:color w:val="000000"/>
          <w:spacing w:val="0"/>
          <w:w w:val="100"/>
          <w:position w:val="0"/>
          <w:sz w:val="24"/>
          <w:szCs w:val="24"/>
          <w:shd w:val="clear" w:color="auto" w:fill="auto"/>
          <w:lang w:val="ru-RU" w:eastAsia="ru-RU" w:bidi="ru-RU"/>
        </w:rPr>
        <w:t>к участникам закупки» настоящей позиции:</w:t>
      </w:r>
    </w:p>
    <w:p>
      <w:pPr>
        <w:pStyle w:val="Style13"/>
        <w:keepNext w:val="0"/>
        <w:keepLines w:val="0"/>
        <w:widowControl w:val="0"/>
        <w:numPr>
          <w:ilvl w:val="0"/>
          <w:numId w:val="15"/>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исполненный договор;</w:t>
      </w:r>
    </w:p>
    <w:p>
      <w:pPr>
        <w:pStyle w:val="Style13"/>
        <w:keepNext w:val="0"/>
        <w:keepLines w:val="0"/>
        <w:widowControl w:val="0"/>
        <w:numPr>
          <w:ilvl w:val="0"/>
          <w:numId w:val="15"/>
        </w:numPr>
        <w:shd w:val="clear" w:color="auto" w:fill="auto"/>
        <w:tabs>
          <w:tab w:pos="105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13"/>
        <w:keepNext w:val="0"/>
        <w:keepLines w:val="0"/>
        <w:widowControl w:val="0"/>
        <w:numPr>
          <w:ilvl w:val="0"/>
          <w:numId w:val="15"/>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случае наличия опыта, предусмотренного пунктом 3 графы «Дополнительные требования к участникам закупки» настоящей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раздел 11 «Смета на строительство объектов капитального строительства» проектной документации;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требованиям п. 3 ч. 6 ст. 43 Закона о закупках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 2 или 2.1 (при наличии таких требований) ст. 31 Закона о закупках, и предусмотренные пп. «н» п. 1 ч. 1 ст. 43, не включаются участником закупки в заявку на участие в закупке. Такие документы в случаях, предусмотренных Законом о закупках,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12 ст. 24.2 Закона о закупках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 2 и 2.1 ст. 31 Закона о закупках,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 3 ст. 31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15 ст. 24.2 Закона о закупках порядок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ч. 12, 12.1 и 13 ст. 24.2 Закона о закупках, устанавливается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2 Постановления Правительства РФ Постановление Правительства РФ от 14.09.2019 № 1202 «О порядке взаимодействия участника закупки и оператора электронной площадки, оператора специализированной электронной площадки» (вместе с «Правилами взаимодействия участника закупки и оператора электронной площадки, оператора специализированной электронной площадки») (далее - Ш1 РФ № 1202) установлено, что в целях обеспечения доступа к участию в проводимых 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с ч. 2 и 2.1 ст. 31 Закона о закупках, участник закупки после идентификации и аутентификации на электронной площадке, специализированной электронной площадке направляет оператору соответствующей площадки информацию и документы, предусмотренные перечнем, установленным в соответствии с ч. 3 ст. 31 Закона о закупках, путем формирования и подписания электронной подписью, вид которой предусмотрен Федеральным законом, информации и документов, предусмотренных п. 4 11 РФ № 2571, а также указанных в графе «Информация и документы, подтверждающие соответствие участников закупки дополнительным требованиям» приложения к указанному постановлению (далее - приложение к дополнительным требованиям). 1ри этом:</w:t>
      </w:r>
    </w:p>
    <w:p>
      <w:pPr>
        <w:pStyle w:val="Style13"/>
        <w:keepNext w:val="0"/>
        <w:keepLines w:val="0"/>
        <w:widowControl w:val="0"/>
        <w:numPr>
          <w:ilvl w:val="0"/>
          <w:numId w:val="17"/>
        </w:numPr>
        <w:shd w:val="clear" w:color="auto" w:fill="auto"/>
        <w:tabs>
          <w:tab w:pos="105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документы формируются в форме электронного документа или образа бумажного документа с указанием даты подписания документа;</w:t>
      </w:r>
    </w:p>
    <w:p>
      <w:pPr>
        <w:pStyle w:val="Style13"/>
        <w:keepNext w:val="0"/>
        <w:keepLines w:val="0"/>
        <w:widowControl w:val="0"/>
        <w:numPr>
          <w:ilvl w:val="0"/>
          <w:numId w:val="17"/>
        </w:numPr>
        <w:shd w:val="clear" w:color="auto" w:fill="auto"/>
        <w:tabs>
          <w:tab w:pos="105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при формировании информации и документов, предусмотренных приложением к </w:t>
      </w:r>
      <w:r>
        <w:rPr>
          <w:color w:val="000000"/>
          <w:spacing w:val="0"/>
          <w:w w:val="100"/>
          <w:position w:val="0"/>
          <w:sz w:val="24"/>
          <w:szCs w:val="24"/>
          <w:shd w:val="clear" w:color="auto" w:fill="auto"/>
          <w:lang w:val="ru-RU" w:eastAsia="ru-RU" w:bidi="ru-RU"/>
        </w:rPr>
        <w:t>дополнительным требованиям в графе «Информация и документы, подтверждающие соответствие участников закупки дополнительным требованиям», участник закупки указывает:</w:t>
      </w:r>
    </w:p>
    <w:p>
      <w:pPr>
        <w:pStyle w:val="Style13"/>
        <w:keepNext w:val="0"/>
        <w:keepLines w:val="0"/>
        <w:widowControl w:val="0"/>
        <w:numPr>
          <w:ilvl w:val="0"/>
          <w:numId w:val="19"/>
        </w:numPr>
        <w:shd w:val="clear" w:color="auto" w:fill="auto"/>
        <w:tabs>
          <w:tab w:pos="100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номера позиции приложения к дополнительным требованиям;</w:t>
      </w:r>
    </w:p>
    <w:p>
      <w:pPr>
        <w:pStyle w:val="Style13"/>
        <w:keepNext w:val="0"/>
        <w:keepLines w:val="0"/>
        <w:widowControl w:val="0"/>
        <w:numPr>
          <w:ilvl w:val="0"/>
          <w:numId w:val="19"/>
        </w:numPr>
        <w:shd w:val="clear" w:color="auto" w:fill="auto"/>
        <w:tabs>
          <w:tab w:pos="100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цену поставленных товаров, выполненных работ, оказанных услуг по договору (контракту), предусмотренному приложением к дополнительным требованиям в графе «Информация и документы, подтверждающие соответствие участников закупки дополнительным требованиям», определяемую с учетом абзаца пятого подпункта «б» п. 3 ПП РФ № 2571;</w:t>
      </w:r>
    </w:p>
    <w:p>
      <w:pPr>
        <w:pStyle w:val="Style13"/>
        <w:keepNext w:val="0"/>
        <w:keepLines w:val="0"/>
        <w:widowControl w:val="0"/>
        <w:numPr>
          <w:ilvl w:val="0"/>
          <w:numId w:val="17"/>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наличия правопреемства участник закупки также формирует и подписывает информацию и (или) документы, подтверждающие такое правопреемство.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4 ПП РФ № 1202 оператор электронной площадки, оператор специализированной электронной площадки рассматривают информацию и документы, предусмотренные п. 2 и 3 настоящих Правил, на предмет:</w:t>
      </w:r>
    </w:p>
    <w:p>
      <w:pPr>
        <w:pStyle w:val="Style13"/>
        <w:keepNext w:val="0"/>
        <w:keepLines w:val="0"/>
        <w:widowControl w:val="0"/>
        <w:numPr>
          <w:ilvl w:val="0"/>
          <w:numId w:val="2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наличия информации и документов, предусмотренных настоящими Правилами;</w:t>
      </w:r>
    </w:p>
    <w:p>
      <w:pPr>
        <w:pStyle w:val="Style13"/>
        <w:keepNext w:val="0"/>
        <w:keepLines w:val="0"/>
        <w:widowControl w:val="0"/>
        <w:numPr>
          <w:ilvl w:val="0"/>
          <w:numId w:val="21"/>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наличия информации об участнике закупки (с учетом информации и документов, предусмотренных пп. «в» п. 2 настоящих Правил) в таких информации и документах, за исключением случаев, если в соответствии с законодательством Российской Федерации указание такой информации не предусмотрено;</w:t>
      </w:r>
    </w:p>
    <w:p>
      <w:pPr>
        <w:pStyle w:val="Style13"/>
        <w:keepNext w:val="0"/>
        <w:keepLines w:val="0"/>
        <w:widowControl w:val="0"/>
        <w:numPr>
          <w:ilvl w:val="0"/>
          <w:numId w:val="21"/>
        </w:numPr>
        <w:shd w:val="clear" w:color="auto" w:fill="auto"/>
        <w:tabs>
          <w:tab w:pos="104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непревышения ценой поставленных товаров, выполненных работ, оказанных услуг по договору (контракту), предусмотренной абзацем третьим пп. «б» п. 2 настоящих Правил, цены такого договора (контракта);</w:t>
      </w:r>
    </w:p>
    <w:p>
      <w:pPr>
        <w:pStyle w:val="Style13"/>
        <w:keepNext w:val="0"/>
        <w:keepLines w:val="0"/>
        <w:widowControl w:val="0"/>
        <w:numPr>
          <w:ilvl w:val="0"/>
          <w:numId w:val="21"/>
        </w:numPr>
        <w:shd w:val="clear" w:color="auto" w:fill="auto"/>
        <w:tabs>
          <w:tab w:pos="102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соответствие информации и документов, сформированных и предусмотренных приложением к дополнительным требованиям в графе «Информация и документы, подтверждающие соответствие участников закупки дополнительным требованиям», положениям абзацев шестого, восьмого и одиннадцатого пп. «б» п. 3 ПП РФ № 2571.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исходя из указанных положений ПП РФ № 1202, ст. 43 Закона о закупках порядок направления документов, подтверждающих соответствие участника дополнительным требованиям, установленным в соответствии с ПП РФ № 2571 и документов, в составе второй части заявки на участие в закупке, различен и осуществляется разными субъектами - оператором электронной площадки и самим участником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исходя из указанных положений ПП РФ № 1202 в обязанности оператора электронной площадки не входит проверка документов, направленных участником закупки в качестве подтверждения соответствия требованиям ч. 2 и 2.1 ст. 31 Закона о закупках, на соответствие таких документов требованиям пунктов приложения к ПП РФ № 2571.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4 ч. 4 ст. 49 Закона о закупках не позднее одного часа с момента завершения процедуры подачи ценовых предложений оператор электронной площадки направляет заказчику протокол, предусмотренный п. 2 ч. 4 ст. 49 Закона о закупках, заявки на участие в закупке, а также предусмотренные п. 2 и 3 ч. 6 ст. 43 Закона о закупках информацию и документы участников закупки, подавших такие заявки.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23"/>
        </w:numPr>
        <w:shd w:val="clear" w:color="auto" w:fill="auto"/>
        <w:tabs>
          <w:tab w:pos="103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25"/>
        </w:numPr>
        <w:shd w:val="clear" w:color="auto" w:fill="auto"/>
        <w:tabs>
          <w:tab w:pos="102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pPr>
        <w:pStyle w:val="Style13"/>
        <w:keepNext w:val="0"/>
        <w:keepLines w:val="0"/>
        <w:widowControl w:val="0"/>
        <w:numPr>
          <w:ilvl w:val="0"/>
          <w:numId w:val="25"/>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пп.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w:t>
      </w:r>
      <w:r>
        <w:rPr>
          <w:color w:val="000000"/>
          <w:spacing w:val="0"/>
          <w:w w:val="100"/>
          <w:position w:val="0"/>
          <w:sz w:val="24"/>
          <w:szCs w:val="24"/>
          <w:shd w:val="clear" w:color="auto" w:fill="auto"/>
          <w:lang w:val="ru-RU" w:eastAsia="ru-RU" w:bidi="ru-RU"/>
        </w:rPr>
        <w:t>предложения участника закупки, подавшего такую заявку (за исключением случая, предусмотренного п. 9 ч. 3 ст. 49 Закона о закупках,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23"/>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1, 2, 4 - 7 ч. 17 ст. 48 Закона о закупках.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27"/>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закупках)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закупках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7"/>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7"/>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pPr>
        <w:pStyle w:val="Style13"/>
        <w:keepNext w:val="0"/>
        <w:keepLines w:val="0"/>
        <w:widowControl w:val="0"/>
        <w:numPr>
          <w:ilvl w:val="0"/>
          <w:numId w:val="27"/>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pPr>
        <w:pStyle w:val="Style13"/>
        <w:keepNext w:val="0"/>
        <w:keepLines w:val="0"/>
        <w:widowControl w:val="0"/>
        <w:numPr>
          <w:ilvl w:val="0"/>
          <w:numId w:val="27"/>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27"/>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27"/>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ч. 6 ст. 45 Закона о закупках;</w:t>
      </w:r>
    </w:p>
    <w:p>
      <w:pPr>
        <w:pStyle w:val="Style13"/>
        <w:keepNext w:val="0"/>
        <w:keepLines w:val="0"/>
        <w:widowControl w:val="0"/>
        <w:numPr>
          <w:ilvl w:val="0"/>
          <w:numId w:val="27"/>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1 ст. 27 Закона о закупках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Законом о закупках, не допускается.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извещением о проведении закупки № 0356500001424005722 объектом закупки является выполнение работ по изготовлению и установке памятников и других надмогильных сооружений (надгробий) на местах воинских захоронений в рамках благоустройства территории захоронения бойцов ОМОН и бойцов СВО.</w:t>
      </w:r>
    </w:p>
    <w:p>
      <w:pPr>
        <w:pStyle w:val="Style13"/>
        <w:keepNext w:val="0"/>
        <w:keepLines w:val="0"/>
        <w:widowControl w:val="0"/>
        <w:shd w:val="clear" w:color="auto" w:fill="auto"/>
        <w:bidi w:val="0"/>
        <w:spacing w:before="0" w:after="0" w:line="240" w:lineRule="auto"/>
        <w:ind w:left="0" w:right="0" w:firstLine="740"/>
        <w:jc w:val="both"/>
        <w:sectPr>
          <w:footerReference w:type="default" r:id="rId10"/>
          <w:footnotePr>
            <w:pos w:val="pageBottom"/>
            <w:numFmt w:val="decimal"/>
            <w:numRestart w:val="continuous"/>
          </w:footnotePr>
          <w:pgSz w:w="11900" w:h="16840"/>
          <w:pgMar w:top="1110" w:right="542" w:bottom="1112" w:left="1106" w:header="682" w:footer="3" w:gutter="0"/>
          <w:cols w:space="720"/>
          <w:noEndnote/>
          <w:rtlGutter w:val="0"/>
          <w:docGrid w:linePitch="360"/>
        </w:sectPr>
      </w:pPr>
      <w:r>
        <w:rPr>
          <w:color w:val="000000"/>
          <w:spacing w:val="0"/>
          <w:w w:val="100"/>
          <w:position w:val="0"/>
          <w:sz w:val="24"/>
          <w:szCs w:val="24"/>
          <w:shd w:val="clear" w:color="auto" w:fill="auto"/>
          <w:lang w:val="ru-RU" w:eastAsia="ru-RU" w:bidi="ru-RU"/>
        </w:rPr>
        <w:t>Также согласно извещению о проведении электронного аукциона для закупки №</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0356500001424005722 Заказчиком, Уполномоченным учреждением установлены дополнительные требования в соответствии с п. 9 раздела 2 приложения к ПП РФ № 2571.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анализа заявки Заявителя установлено, что в качестве подтверждения соответствия дополнительным требованиям по п. 2 раздела 9 приложения к ПП РФ № 2571 оператором электронной площадки были направлены следующие документы:</w:t>
      </w:r>
    </w:p>
    <w:p>
      <w:pPr>
        <w:pStyle w:val="Style13"/>
        <w:keepNext w:val="0"/>
        <w:keepLines w:val="0"/>
        <w:widowControl w:val="0"/>
        <w:numPr>
          <w:ilvl w:val="0"/>
          <w:numId w:val="29"/>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копия контракта № ЭА/2023-146 от 25.08.2023 г. на выполнение работы по модернизации КНС № 5 Эжвинского района МО ГО «Сыктывкар» (модернизация насосного оборудования, автоматизации и диспетчеризации), заключенного между Эжвинским муниципальным унитарным предприятием «Жилкомхоз» и Заявителем. Согласно п. 3.1 контракта цена контракта составляет 13 429 806,98 руб. К контракту также приложены копии актов о приемке выполненных работ № 1-3 по форме КС-2, согласно которым Заявителем выполнены работы на сумму 13 429 806,98 руб., дополнительное соглашение № 1 от 07.10.2021 г., информация о реестровой записи договора № 121000072-СМП от 26.04.2021 г. в реестре контрактов единой информационной системы в сфере закупок - 2590229310721000130.</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проанализировав содержание контракта № ЭА/2023-146 от 25.08.2023 г., приложенного к нему Технического задания, установила, что в рамках контракта Заявителю, согласно п. 4 Технического задания, надлежало осуществить монтаж насосного оборудования, монтаж систем автоматизации и диспетчеризации, проведение пусконаладочных работ.</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согласно преамбуле Технического задания работы по контракту № ЭА/2023-146 от 25.08.2023 г. относятся к коду по Общероссийскому классификатору продукции по видам экономической деятельности (ОКПД2) ОК 034-2014 (КПЕС 2008) с указанием вида продукции, соответствующей предмету электронного аукциона и позиции КТРУ: 43.22.11.150 «Работы по монтажу канализационных систем»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36 ст. 1 Градостроительного кодекса РФ под благоустройством территории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1.4. Методических рекомендаций по разработке норм и правил по благоустройству территорий муниципальных образований, утвержденных приказом Минстроя России от 29.12.2021 г. № 1042/пр в соответствии с пунктом 3.12 «СП 82.13330.2016. Свод правил. Благоустройство территорий. Актуализированная редакция СНиП Ш-10-75», утвержденного приказом Министерства строительства и жилищно-коммунального хозяйства Российской Федерации от 16 декабря 2016 г. № 972/пр, к объектам благоустройства относятся территории различного функционального назначения, на которых осуществляется деятельность по благоустройству. В правилах благоустройства территорий муниципальных образований к объектам благоустройства муниципального образования рекомендуется относить территории муниципального образования, на которых осуществляется деятельность по благоустройству, например:</w:t>
      </w:r>
    </w:p>
    <w:p>
      <w:pPr>
        <w:pStyle w:val="Style13"/>
        <w:keepNext w:val="0"/>
        <w:keepLines w:val="0"/>
        <w:widowControl w:val="0"/>
        <w:numPr>
          <w:ilvl w:val="0"/>
          <w:numId w:val="29"/>
        </w:numPr>
        <w:shd w:val="clear" w:color="auto" w:fill="auto"/>
        <w:tabs>
          <w:tab w:pos="158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кладбища и мемориальные зоны.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Исходя из анализа контракта № ЭА/2023-146 от 25.08.2023 г. и приложений к нему Комиссия пришла к выводу, что работы, предусмотренные указанным контрактом, не являются как работами по благоустройству территории, так и работами по строительству некапитального строения, сооружения (строений, сооружений), работам по строительству, реконструкции объекта капитального строительства (в том числе линейного объекта).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Указанный вывод Комиссии соответствует позиции АСО «Гильдия Пермских Строителей» (№ 865 от 29.02.2024 г.), приложенный к пояснениям Аукционной комиссией.</w:t>
      </w:r>
    </w:p>
    <w:p>
      <w:pPr>
        <w:pStyle w:val="Style13"/>
        <w:keepNext w:val="0"/>
        <w:keepLines w:val="0"/>
        <w:widowControl w:val="0"/>
        <w:shd w:val="clear" w:color="auto" w:fill="auto"/>
        <w:bidi w:val="0"/>
        <w:spacing w:before="0" w:after="0" w:line="336" w:lineRule="auto"/>
        <w:ind w:left="0" w:right="0" w:firstLine="720"/>
        <w:jc w:val="both"/>
        <w:sectPr>
          <w:footerReference w:type="default" r:id="rId11"/>
          <w:footnotePr>
            <w:pos w:val="pageBottom"/>
            <w:numFmt w:val="decimal"/>
            <w:numRestart w:val="continuous"/>
          </w:footnotePr>
          <w:pgSz w:w="11900" w:h="16840"/>
          <w:pgMar w:top="1110" w:right="541" w:bottom="526" w:left="1106"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Таким образом, в действиях Аукционной комиссии, проверяющей заявки на соответствие требованиям извещения о проведении закупки, нарушений положений Закона о закупках не 2024-11472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установлено.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5"/>
        <w:keepNext/>
        <w:keepLines/>
        <w:widowControl w:val="0"/>
        <w:shd w:val="clear" w:color="auto" w:fill="auto"/>
        <w:bidi w:val="0"/>
        <w:spacing w:before="0" w:after="0" w:line="240" w:lineRule="auto"/>
        <w:ind w:left="0" w:right="0" w:firstLine="0"/>
        <w:jc w:val="center"/>
      </w:pPr>
      <w:bookmarkStart w:id="19" w:name="bookmark19"/>
      <w:r>
        <w:rPr>
          <w:color w:val="000000"/>
          <w:spacing w:val="0"/>
          <w:w w:val="100"/>
          <w:position w:val="0"/>
          <w:sz w:val="24"/>
          <w:szCs w:val="24"/>
          <w:shd w:val="clear" w:color="auto" w:fill="auto"/>
          <w:lang w:val="ru-RU" w:eastAsia="ru-RU" w:bidi="ru-RU"/>
        </w:rPr>
        <w:t>РЕШИЛА:</w:t>
      </w:r>
      <w:bookmarkEnd w:id="19"/>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«Синергия-Сервис» на действия комиссии ГКУ ПК «Центр организации закупок» при проведении электронного аукциона на выполнение работ по изготовлению и установке памятников и других надмогильных сооружений (надгробий) на местах воинских захоронений в рамках благоустройства территории захоронения бойцов ОМОН и бойцов СВО (изв.№ 0356500001424005722) необоснованной.</w:t>
      </w:r>
    </w:p>
    <w:p>
      <w:pPr>
        <w:pStyle w:val="Style13"/>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2"/>
          <w:footnotePr>
            <w:pos w:val="pageBottom"/>
            <w:numFmt w:val="decimal"/>
            <w:numRestart w:val="continuous"/>
          </w:footnotePr>
          <w:pgSz w:w="11900" w:h="16840"/>
          <w:pgMar w:top="1110" w:right="546" w:bottom="1827" w:left="1106" w:header="682" w:footer="3" w:gutter="0"/>
          <w:cols w:space="720"/>
          <w:noEndnote/>
          <w:rtlGutter w:val="0"/>
          <w:docGrid w:linePitch="360"/>
        </w:sectPr>
      </w:pPr>
      <w:r>
        <mc:AlternateContent>
          <mc:Choice Requires="wps">
            <w:drawing>
              <wp:anchor distT="0" distB="396240" distL="0" distR="0" simplePos="0" relativeHeight="125829378" behindDoc="0" locked="0" layoutInCell="1" allowOverlap="1">
                <wp:simplePos x="0" y="0"/>
                <wp:positionH relativeFrom="page">
                  <wp:posOffset>739140</wp:posOffset>
                </wp:positionH>
                <wp:positionV relativeFrom="paragraph">
                  <wp:posOffset>0</wp:posOffset>
                </wp:positionV>
                <wp:extent cx="1667510" cy="201295"/>
                <wp:wrapTopAndBottom/>
                <wp:docPr id="10" name="Shape 10"/>
                <a:graphic xmlns:a="http://schemas.openxmlformats.org/drawingml/2006/main">
                  <a:graphicData uri="http://schemas.microsoft.com/office/word/2010/wordprocessingShape">
                    <wps:wsp>
                      <wps:cNvSpPr txBox="1"/>
                      <wps:spPr>
                        <a:xfrm>
                          <a:ext cx="1667510" cy="2012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200000000000003pt;margin-top:0;width:131.30000000000001pt;height:15.85pt;z-index:-125829375;mso-wrap-distance-left:0;mso-wrap-distance-right:0;mso-wrap-distance-bottom:31.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60960" distB="0" distL="0" distR="1786255" simplePos="0" relativeHeight="125829380" behindDoc="0" locked="0" layoutInCell="1" allowOverlap="1">
            <wp:simplePos x="0" y="0"/>
            <wp:positionH relativeFrom="page">
              <wp:posOffset>2659380</wp:posOffset>
            </wp:positionH>
            <wp:positionV relativeFrom="paragraph">
              <wp:posOffset>60960</wp:posOffset>
            </wp:positionV>
            <wp:extent cx="353695" cy="53657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463550</wp:posOffset>
                </wp:positionV>
                <wp:extent cx="1283335" cy="103505"/>
                <wp:wrapNone/>
                <wp:docPr id="14" name="Shape 14"/>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5.40000000000001pt;margin-top:36.5pt;width:101.05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152400</wp:posOffset>
                </wp:positionV>
                <wp:extent cx="1722120" cy="255905"/>
                <wp:wrapNone/>
                <wp:docPr id="16" name="Shape 1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2" type="#_x0000_t202" style="position:absolute;margin-left:242.05000000000001pt;margin-top:12.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04470" distB="170815" distL="0" distR="0" simplePos="0" relativeHeight="125829381" behindDoc="0" locked="0" layoutInCell="1" allowOverlap="1">
                <wp:simplePos x="0" y="0"/>
                <wp:positionH relativeFrom="page">
                  <wp:posOffset>6100445</wp:posOffset>
                </wp:positionH>
                <wp:positionV relativeFrom="paragraph">
                  <wp:posOffset>204470</wp:posOffset>
                </wp:positionV>
                <wp:extent cx="1088390" cy="222250"/>
                <wp:wrapTopAndBottom/>
                <wp:docPr id="18" name="Shape 18"/>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4" type="#_x0000_t202" style="position:absolute;margin-left:480.35000000000002pt;margin-top:16.100000000000001pt;width:85.700000000000003pt;height:17.5pt;z-index:-125829372;mso-wrap-distance-left:0;mso-wrap-distance-top:16.100000000000001pt;mso-wrap-distance-right:0;mso-wrap-distance-bottom:13.4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О0СОС822В29790В5ВЗЕ4ВЕА073ЕВ878651</w:t>
      </w:r>
    </w:p>
    <w:p>
      <w:pPr>
        <w:pStyle w:val="Style25"/>
        <w:keepNext w:val="0"/>
        <w:keepLines w:val="0"/>
        <w:widowControl w:val="0"/>
        <w:shd w:val="clear" w:color="auto" w:fill="auto"/>
        <w:bidi w:val="0"/>
        <w:spacing w:before="0" w:after="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19.02.2024 </w:t>
      </w:r>
      <w:r>
        <w:rPr>
          <w:color w:val="868686"/>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14.05.2025</w:t>
      </w:r>
    </w:p>
    <w:p>
      <w:pPr>
        <w:pStyle w:val="Style15"/>
        <w:keepNext/>
        <w:keepLines/>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6359525</wp:posOffset>
                </wp:positionH>
                <wp:positionV relativeFrom="paragraph">
                  <wp:posOffset>228600</wp:posOffset>
                </wp:positionV>
                <wp:extent cx="826135" cy="222250"/>
                <wp:wrapSquare wrapText="left"/>
                <wp:docPr id="20" name="Shape 20"/>
                <a:graphic xmlns:a="http://schemas.openxmlformats.org/drawingml/2006/main">
                  <a:graphicData uri="http://schemas.microsoft.com/office/word/2010/wordprocessingShape">
                    <wps:wsp>
                      <wps:cNvSpPr txBox="1"/>
                      <wps:spPr>
                        <a:xfrm>
                          <a:ext cx="826135"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М.Е. Качин</w:t>
                            </w:r>
                          </w:p>
                        </w:txbxContent>
                      </wps:txbx>
                      <wps:bodyPr wrap="none" lIns="0" tIns="0" rIns="0" bIns="0">
                        <a:noAutoFit/>
                      </wps:bodyPr>
                    </wps:wsp>
                  </a:graphicData>
                </a:graphic>
              </wp:anchor>
            </w:drawing>
          </mc:Choice>
          <mc:Fallback>
            <w:pict>
              <v:shape id="_x0000_s1046" type="#_x0000_t202" style="position:absolute;margin-left:500.75pt;margin-top:18.pt;width:65.049999999999997pt;height:17.5pt;z-index:-125829370;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М.Е. Качин</w:t>
                      </w:r>
                    </w:p>
                  </w:txbxContent>
                </v:textbox>
                <w10:wrap type="square" side="left" anchorx="page"/>
              </v:shape>
            </w:pict>
          </mc:Fallback>
        </mc:AlternateContent>
      </w:r>
      <w:bookmarkStart w:id="21" w:name="bookmark21"/>
      <w:r>
        <w:rPr>
          <w:color w:val="000000"/>
          <w:spacing w:val="0"/>
          <w:w w:val="100"/>
          <w:position w:val="0"/>
          <w:sz w:val="24"/>
          <w:szCs w:val="24"/>
          <w:shd w:val="clear" w:color="auto" w:fill="auto"/>
          <w:lang w:val="ru-RU" w:eastAsia="ru-RU" w:bidi="ru-RU"/>
        </w:rPr>
        <w:t>Члены комиссии:</w:t>
      </w:r>
      <w:bookmarkEnd w:id="21"/>
    </w:p>
    <w:p>
      <w:pPr>
        <w:pStyle w:val="Style31"/>
        <w:keepNext w:val="0"/>
        <w:keepLines w:val="0"/>
        <w:widowControl w:val="0"/>
        <w:shd w:val="clear" w:color="auto" w:fill="auto"/>
        <w:bidi w:val="0"/>
        <w:spacing w:before="0" w:after="90" w:line="240" w:lineRule="auto"/>
        <w:ind w:left="374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Качин Матвей Егорович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79АВ84Е792О7423Е9295С0АОО95ЭС7Е7</w:t>
      </w:r>
    </w:p>
    <w:p>
      <w:pPr>
        <w:pStyle w:val="Style25"/>
        <w:keepNext w:val="0"/>
        <w:keepLines w:val="0"/>
        <w:widowControl w:val="0"/>
        <w:shd w:val="clear" w:color="auto" w:fill="auto"/>
        <w:bidi w:val="0"/>
        <w:spacing w:before="0" w:after="32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09.01.2024 по 03.04.2025</w:t>
      </w:r>
    </w:p>
    <w:p>
      <w:pPr>
        <w:pStyle w:val="Style15"/>
        <w:keepNext/>
        <w:keepLines/>
        <w:widowControl w:val="0"/>
        <w:shd w:val="clear" w:color="auto" w:fill="auto"/>
        <w:bidi w:val="0"/>
        <w:spacing w:before="0" w:after="430" w:line="240" w:lineRule="auto"/>
        <w:ind w:left="0" w:right="0" w:firstLine="0"/>
        <w:jc w:val="right"/>
      </w:pPr>
      <w:r>
        <w:drawing>
          <wp:anchor distT="0" distB="0" distL="114300" distR="1918970" simplePos="0" relativeHeight="125829385" behindDoc="0" locked="0" layoutInCell="1" allowOverlap="1">
            <wp:simplePos x="0" y="0"/>
            <wp:positionH relativeFrom="page">
              <wp:posOffset>2680335</wp:posOffset>
            </wp:positionH>
            <wp:positionV relativeFrom="paragraph">
              <wp:posOffset>76200</wp:posOffset>
            </wp:positionV>
            <wp:extent cx="311150" cy="36576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146050</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0" type="#_x0000_t202" style="position:absolute;margin-left:242.pt;margin-top:11.5pt;width:135.59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bookmarkStart w:id="23" w:name="bookmark23"/>
      <w:r>
        <w:rPr>
          <w:color w:val="000000"/>
          <w:spacing w:val="0"/>
          <w:w w:val="100"/>
          <w:position w:val="0"/>
          <w:sz w:val="24"/>
          <w:szCs w:val="24"/>
          <w:shd w:val="clear" w:color="auto" w:fill="auto"/>
          <w:lang w:val="ru-RU" w:eastAsia="ru-RU" w:bidi="ru-RU"/>
        </w:rPr>
        <w:t>М.А. Журавлев</w:t>
      </w:r>
      <w:bookmarkEnd w:id="23"/>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5"/>
        <w:keepNext w:val="0"/>
        <w:keepLines w:val="0"/>
        <w:widowControl w:val="0"/>
        <w:shd w:val="clear" w:color="auto" w:fill="auto"/>
        <w:bidi w:val="0"/>
        <w:spacing w:before="0" w:after="4960" w:line="240" w:lineRule="auto"/>
        <w:ind w:right="0" w:firstLine="0"/>
        <w:jc w:val="left"/>
      </w:pPr>
      <w:r>
        <w:rPr>
          <w:color w:val="666666"/>
          <w:spacing w:val="0"/>
          <w:w w:val="100"/>
          <w:position w:val="0"/>
          <w:shd w:val="clear" w:color="auto" w:fill="auto"/>
          <w:lang w:val="ru-RU" w:eastAsia="ru-RU" w:bidi="ru-RU"/>
        </w:rPr>
        <w:t xml:space="preserve">Действителен с </w:t>
      </w:r>
      <w:r>
        <w:rPr>
          <w:color w:val="868686"/>
          <w:spacing w:val="0"/>
          <w:w w:val="100"/>
          <w:position w:val="0"/>
          <w:shd w:val="clear" w:color="auto" w:fill="auto"/>
          <w:lang w:val="ru-RU" w:eastAsia="ru-RU" w:bidi="ru-RU"/>
        </w:rPr>
        <w:t>31</w:t>
      </w:r>
      <w:r>
        <w:rPr>
          <w:color w:val="666666"/>
          <w:spacing w:val="0"/>
          <w:w w:val="100"/>
          <w:position w:val="0"/>
          <w:shd w:val="clear" w:color="auto" w:fill="auto"/>
          <w:lang w:val="ru-RU" w:eastAsia="ru-RU" w:bidi="ru-RU"/>
        </w:rPr>
        <w:t xml:space="preserve">.07.2024 </w:t>
      </w:r>
      <w:r>
        <w:rPr>
          <w:color w:val="868686"/>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24.10.2025</w:t>
      </w:r>
    </w:p>
    <w:p>
      <w:pPr>
        <w:pStyle w:val="Style13"/>
        <w:keepNext w:val="0"/>
        <w:keepLines w:val="0"/>
        <w:widowControl w:val="0"/>
        <w:shd w:val="clear" w:color="auto" w:fill="auto"/>
        <w:bidi w:val="0"/>
        <w:spacing w:before="0" w:after="60" w:line="240" w:lineRule="auto"/>
        <w:ind w:left="0" w:right="8340" w:firstLine="0"/>
        <w:jc w:val="righ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10016490</wp:posOffset>
              </wp:positionV>
              <wp:extent cx="719455" cy="100330"/>
              <wp:wrapNone/>
              <wp:docPr id="2" name="Shape 2"/>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50000000000001pt;margin-top:788.7000000000000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4" name="Shape 4"/>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wps:txbx>
                    <wps:bodyPr wrap="none" lIns="0" tIns="0" rIns="0" bIns="0">
                      <a:spAutoFit/>
                    </wps:bodyPr>
                  </wps:wsp>
                </a:graphicData>
              </a:graphic>
            </wp:anchor>
          </w:drawing>
        </mc:Choice>
        <mc:Fallback>
          <w:pict>
            <v:shape id="_x0000_s1030"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10016490</wp:posOffset>
              </wp:positionV>
              <wp:extent cx="719455" cy="100330"/>
              <wp:wrapNone/>
              <wp:docPr id="6" name="Shape 6"/>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wps:txbx>
                    <wps:bodyPr wrap="none" lIns="0" tIns="0" rIns="0" bIns="0">
                      <a:spAutoFit/>
                    </wps:bodyPr>
                  </wps:wsp>
                </a:graphicData>
              </a:graphic>
            </wp:anchor>
          </w:drawing>
        </mc:Choice>
        <mc:Fallback>
          <w:pict>
            <v:shape id="_x0000_s1032" type="#_x0000_t202" style="position:absolute;margin-left:56.850000000000001pt;margin-top:788.70000000000005pt;width:56.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721995</wp:posOffset>
              </wp:positionH>
              <wp:positionV relativeFrom="page">
                <wp:posOffset>10016490</wp:posOffset>
              </wp:positionV>
              <wp:extent cx="719455" cy="100330"/>
              <wp:wrapNone/>
              <wp:docPr id="8" name="Shape 8"/>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wps:txbx>
                    <wps:bodyPr wrap="none" lIns="0" tIns="0" rIns="0" bIns="0">
                      <a:spAutoFit/>
                    </wps:bodyPr>
                  </wps:wsp>
                </a:graphicData>
              </a:graphic>
            </wp:anchor>
          </w:drawing>
        </mc:Choice>
        <mc:Fallback>
          <w:pict>
            <v:shape id="_x0000_s1034" type="#_x0000_t202" style="position:absolute;margin-left:56.850000000000001pt;margin-top:788.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2024-11472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8"/>
      <w:szCs w:val="48"/>
      <w:u w:val="none"/>
    </w:rPr>
  </w:style>
  <w:style w:type="character" w:customStyle="1" w:styleId="CharStyle21">
    <w:name w:val="Подпись к картинке_"/>
    <w:basedOn w:val="DefaultParagraphFont"/>
    <w:link w:val="Style20"/>
    <w:rPr>
      <w:rFonts w:ascii="Georgia" w:eastAsia="Georgia" w:hAnsi="Georgia" w:cs="Georgia"/>
      <w:b w:val="0"/>
      <w:bCs w:val="0"/>
      <w:i w:val="0"/>
      <w:iCs w:val="0"/>
      <w:smallCaps w:val="0"/>
      <w:strike w:val="0"/>
      <w:color w:val="1F1F1F"/>
      <w:sz w:val="11"/>
      <w:szCs w:val="11"/>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04040"/>
      <w:sz w:val="12"/>
      <w:szCs w:val="12"/>
      <w:u w:val="none"/>
    </w:rPr>
  </w:style>
  <w:style w:type="character" w:customStyle="1" w:styleId="CharStyle32">
    <w:name w:val="Основной текст (3)_"/>
    <w:basedOn w:val="DefaultParagraphFont"/>
    <w:link w:val="Style31"/>
    <w:rPr>
      <w:rFonts w:ascii="Georgia" w:eastAsia="Georgia" w:hAnsi="Georgia" w:cs="Georgia"/>
      <w:b w:val="0"/>
      <w:bCs w:val="0"/>
      <w:i w:val="0"/>
      <w:iCs w:val="0"/>
      <w:smallCaps w:val="0"/>
      <w:strike w:val="0"/>
      <w:color w:val="1F1F1F"/>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Основной текст (5)"/>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3"/>
    <w:basedOn w:val="Normal"/>
    <w:link w:val="CharStyle16"/>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8">
    <w:name w:val="Заголовок №1"/>
    <w:basedOn w:val="Normal"/>
    <w:link w:val="CharStyle19"/>
    <w:pPr>
      <w:widowControl w:val="0"/>
      <w:shd w:val="clear" w:color="auto" w:fill="auto"/>
      <w:spacing w:after="360"/>
      <w:outlineLvl w:val="0"/>
    </w:pPr>
    <w:rPr>
      <w:rFonts w:ascii="Arial" w:eastAsia="Arial" w:hAnsi="Arial" w:cs="Arial"/>
      <w:b w:val="0"/>
      <w:bCs w:val="0"/>
      <w:i w:val="0"/>
      <w:iCs w:val="0"/>
      <w:smallCaps w:val="0"/>
      <w:strike w:val="0"/>
      <w:sz w:val="48"/>
      <w:szCs w:val="48"/>
      <w:u w:val="none"/>
    </w:rPr>
  </w:style>
  <w:style w:type="paragraph" w:customStyle="1" w:styleId="Style20">
    <w:name w:val="Подпись к картинке"/>
    <w:basedOn w:val="Normal"/>
    <w:link w:val="CharStyle21"/>
    <w:pPr>
      <w:widowControl w:val="0"/>
      <w:shd w:val="clear" w:color="auto" w:fill="auto"/>
    </w:pPr>
    <w:rPr>
      <w:rFonts w:ascii="Georgia" w:eastAsia="Georgia" w:hAnsi="Georgia" w:cs="Georgia"/>
      <w:b w:val="0"/>
      <w:bCs w:val="0"/>
      <w:i w:val="0"/>
      <w:iCs w:val="0"/>
      <w:smallCaps w:val="0"/>
      <w:strike w:val="0"/>
      <w:color w:val="1F1F1F"/>
      <w:sz w:val="11"/>
      <w:szCs w:val="11"/>
      <w:u w:val="none"/>
    </w:rPr>
  </w:style>
  <w:style w:type="paragraph" w:customStyle="1" w:styleId="Style25">
    <w:name w:val="Основной текст (2)"/>
    <w:basedOn w:val="Normal"/>
    <w:link w:val="CharStyle26"/>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31">
    <w:name w:val="Основной текст (3)"/>
    <w:basedOn w:val="Normal"/>
    <w:link w:val="CharStyle32"/>
    <w:pPr>
      <w:widowControl w:val="0"/>
      <w:shd w:val="clear" w:color="auto" w:fill="auto"/>
      <w:spacing w:after="100"/>
      <w:ind w:left="3770"/>
    </w:pPr>
    <w:rPr>
      <w:rFonts w:ascii="Georgia" w:eastAsia="Georgia" w:hAnsi="Georgia" w:cs="Georgia"/>
      <w:b w:val="0"/>
      <w:bCs w:val="0"/>
      <w:i w:val="0"/>
      <w:iCs w:val="0"/>
      <w:smallCaps w:val="0"/>
      <w:strike w:val="0"/>
      <w:color w:val="1F1F1F"/>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